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6F17" w14:textId="77777777" w:rsidR="006A15C0" w:rsidRPr="007755BF" w:rsidRDefault="00534853" w:rsidP="006A15C0">
      <w:pPr>
        <w:spacing w:after="0" w:line="240" w:lineRule="auto"/>
        <w:jc w:val="center"/>
        <w:rPr>
          <w:rFonts w:ascii="Times New Roman" w:hAnsi="Times New Roman" w:cs="Times New Roman"/>
          <w:b/>
          <w:sz w:val="24"/>
          <w:szCs w:val="24"/>
        </w:rPr>
      </w:pPr>
      <w:r w:rsidRPr="007755BF">
        <w:rPr>
          <w:rFonts w:ascii="Times New Roman" w:hAnsi="Times New Roman" w:cs="Times New Roman"/>
          <w:b/>
          <w:sz w:val="24"/>
          <w:szCs w:val="24"/>
        </w:rPr>
        <w:t>Zoznam oprávnených a neoprávnených výdavkov</w:t>
      </w:r>
    </w:p>
    <w:p w14:paraId="698379CE" w14:textId="77777777" w:rsidR="006A15C0" w:rsidRPr="007755BF" w:rsidRDefault="006A15C0" w:rsidP="006A15C0">
      <w:pPr>
        <w:spacing w:after="0" w:line="240" w:lineRule="auto"/>
        <w:jc w:val="center"/>
        <w:rPr>
          <w:rFonts w:ascii="Times New Roman" w:hAnsi="Times New Roman" w:cs="Times New Roman"/>
          <w:b/>
          <w:sz w:val="24"/>
          <w:szCs w:val="24"/>
        </w:rPr>
      </w:pPr>
      <w:r w:rsidRPr="007755BF">
        <w:rPr>
          <w:rFonts w:ascii="Times New Roman" w:hAnsi="Times New Roman" w:cs="Times New Roman"/>
          <w:b/>
          <w:sz w:val="24"/>
          <w:szCs w:val="24"/>
        </w:rPr>
        <w:t>_____________________________________________</w:t>
      </w:r>
    </w:p>
    <w:p w14:paraId="73E4B35E" w14:textId="77777777" w:rsidR="000430D6" w:rsidRPr="007755BF" w:rsidRDefault="000430D6" w:rsidP="004E29A8">
      <w:pPr>
        <w:jc w:val="both"/>
        <w:rPr>
          <w:rFonts w:ascii="Times New Roman" w:hAnsi="Times New Roman" w:cs="Times New Roman"/>
          <w:sz w:val="24"/>
          <w:szCs w:val="24"/>
        </w:rPr>
      </w:pPr>
    </w:p>
    <w:p w14:paraId="27C20DB1" w14:textId="77777777" w:rsidR="00F84E4F" w:rsidRPr="007755BF" w:rsidRDefault="00F84E4F" w:rsidP="00F84E4F">
      <w:pPr>
        <w:jc w:val="both"/>
        <w:rPr>
          <w:rFonts w:ascii="Times New Roman" w:hAnsi="Times New Roman" w:cs="Times New Roman"/>
          <w:b/>
        </w:rPr>
      </w:pPr>
      <w:r w:rsidRPr="007755BF">
        <w:rPr>
          <w:rFonts w:ascii="Times New Roman" w:hAnsi="Times New Roman" w:cs="Times New Roman"/>
          <w:b/>
        </w:rPr>
        <w:t>Oprávnené výdavky nepriame</w:t>
      </w:r>
      <w:r w:rsidRPr="007755BF">
        <w:rPr>
          <w:rStyle w:val="Odkaznapoznmkupodiarou"/>
          <w:rFonts w:ascii="Times New Roman" w:hAnsi="Times New Roman" w:cs="Times New Roman"/>
          <w:b/>
        </w:rPr>
        <w:footnoteReference w:id="1"/>
      </w:r>
      <w:r w:rsidR="007B0944">
        <w:rPr>
          <w:rFonts w:ascii="Times New Roman" w:hAnsi="Times New Roman" w:cs="Times New Roman"/>
          <w:b/>
        </w:rPr>
        <w:t xml:space="preserve"> pre žiadateľa</w:t>
      </w:r>
      <w:r w:rsidR="005B7D3E" w:rsidRPr="007755BF">
        <w:rPr>
          <w:rFonts w:ascii="Times New Roman" w:hAnsi="Times New Roman" w:cs="Times New Roman"/>
          <w:b/>
        </w:rPr>
        <w:t>:</w:t>
      </w:r>
    </w:p>
    <w:p w14:paraId="5A94128B" w14:textId="2D6C19FF" w:rsidR="00F84E4F" w:rsidRPr="00D27CAE" w:rsidRDefault="00F84E4F" w:rsidP="00D27CAE">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personálne výdavky</w:t>
      </w:r>
      <w:r w:rsidRPr="007755BF">
        <w:rPr>
          <w:rStyle w:val="Odkaznapoznmkupodiarou"/>
          <w:rFonts w:ascii="Times New Roman" w:hAnsi="Times New Roman" w:cs="Times New Roman"/>
          <w:sz w:val="24"/>
          <w:szCs w:val="24"/>
        </w:rPr>
        <w:footnoteReference w:id="2"/>
      </w:r>
      <w:r w:rsidRPr="007755BF">
        <w:rPr>
          <w:rFonts w:ascii="Times New Roman" w:hAnsi="Times New Roman" w:cs="Times New Roman"/>
          <w:sz w:val="24"/>
          <w:szCs w:val="24"/>
        </w:rPr>
        <w:t xml:space="preserve"> priamo súvisiace s riadením projektu (riadiac</w:t>
      </w:r>
      <w:r w:rsidR="002A2F6D">
        <w:rPr>
          <w:rFonts w:ascii="Times New Roman" w:hAnsi="Times New Roman" w:cs="Times New Roman"/>
          <w:sz w:val="24"/>
          <w:szCs w:val="24"/>
        </w:rPr>
        <w:t>i pracovníci: projektový manažér</w:t>
      </w:r>
      <w:r w:rsidRPr="007755BF">
        <w:rPr>
          <w:rFonts w:ascii="Times New Roman" w:hAnsi="Times New Roman" w:cs="Times New Roman"/>
          <w:sz w:val="24"/>
          <w:szCs w:val="24"/>
        </w:rPr>
        <w:t>,</w:t>
      </w:r>
      <w:r w:rsidR="00BC1F1A" w:rsidRPr="007755BF">
        <w:rPr>
          <w:rFonts w:ascii="Times New Roman" w:hAnsi="Times New Roman" w:cs="Times New Roman"/>
          <w:sz w:val="24"/>
          <w:szCs w:val="24"/>
        </w:rPr>
        <w:t xml:space="preserve"> </w:t>
      </w:r>
      <w:r w:rsidR="00B9034A">
        <w:rPr>
          <w:rFonts w:ascii="Times New Roman" w:hAnsi="Times New Roman" w:cs="Times New Roman"/>
          <w:sz w:val="24"/>
          <w:szCs w:val="24"/>
        </w:rPr>
        <w:t xml:space="preserve">finančný manažér, </w:t>
      </w:r>
      <w:r w:rsidR="00DE73EE">
        <w:rPr>
          <w:rFonts w:ascii="Times New Roman" w:hAnsi="Times New Roman" w:cs="Times New Roman"/>
          <w:sz w:val="24"/>
          <w:szCs w:val="24"/>
        </w:rPr>
        <w:t xml:space="preserve">manažér </w:t>
      </w:r>
      <w:r w:rsidR="00B9034A">
        <w:rPr>
          <w:rFonts w:ascii="Times New Roman" w:hAnsi="Times New Roman" w:cs="Times New Roman"/>
          <w:sz w:val="24"/>
          <w:szCs w:val="24"/>
        </w:rPr>
        <w:t>informovania a komunikácie</w:t>
      </w:r>
      <w:r w:rsidR="002A2F6D">
        <w:rPr>
          <w:rFonts w:ascii="Times New Roman" w:hAnsi="Times New Roman" w:cs="Times New Roman"/>
          <w:sz w:val="24"/>
          <w:szCs w:val="24"/>
        </w:rPr>
        <w:t xml:space="preserve">, </w:t>
      </w:r>
      <w:r w:rsidRPr="007755BF">
        <w:rPr>
          <w:rFonts w:ascii="Times New Roman" w:hAnsi="Times New Roman" w:cs="Times New Roman"/>
          <w:sz w:val="24"/>
          <w:szCs w:val="24"/>
        </w:rPr>
        <w:t xml:space="preserve">administratívni pracovníci: </w:t>
      </w:r>
      <w:r w:rsidR="00B9034A">
        <w:rPr>
          <w:rFonts w:ascii="Times New Roman" w:hAnsi="Times New Roman" w:cs="Times New Roman"/>
          <w:sz w:val="24"/>
          <w:szCs w:val="24"/>
        </w:rPr>
        <w:t>asistent projektového manažéra</w:t>
      </w:r>
      <w:r w:rsidRPr="007755BF">
        <w:rPr>
          <w:rFonts w:ascii="Times New Roman" w:hAnsi="Times New Roman" w:cs="Times New Roman"/>
          <w:sz w:val="24"/>
          <w:szCs w:val="24"/>
        </w:rPr>
        <w:t xml:space="preserve">, </w:t>
      </w:r>
      <w:r w:rsidR="00B9034A">
        <w:rPr>
          <w:rFonts w:ascii="Times New Roman" w:hAnsi="Times New Roman" w:cs="Times New Roman"/>
          <w:sz w:val="24"/>
          <w:szCs w:val="24"/>
        </w:rPr>
        <w:t xml:space="preserve">mzdárka, hlavný účtovník, </w:t>
      </w:r>
      <w:r w:rsidR="00DE73EE">
        <w:rPr>
          <w:rFonts w:ascii="Times New Roman" w:hAnsi="Times New Roman" w:cs="Times New Roman"/>
          <w:sz w:val="24"/>
          <w:szCs w:val="24"/>
        </w:rPr>
        <w:t>administratívny pracovník pre služobné cesty</w:t>
      </w:r>
      <w:r w:rsidR="001C5351" w:rsidRPr="00D27CAE">
        <w:rPr>
          <w:rFonts w:ascii="Times New Roman" w:hAnsi="Times New Roman" w:cs="Times New Roman"/>
          <w:sz w:val="24"/>
          <w:szCs w:val="24"/>
        </w:rPr>
        <w:t xml:space="preserve"> a pod.</w:t>
      </w:r>
      <w:r w:rsidRPr="00D27CAE">
        <w:rPr>
          <w:rFonts w:ascii="Times New Roman" w:hAnsi="Times New Roman" w:cs="Times New Roman"/>
          <w:sz w:val="24"/>
          <w:szCs w:val="24"/>
        </w:rPr>
        <w:t>)</w:t>
      </w:r>
      <w:r w:rsidRPr="007755BF">
        <w:rPr>
          <w:rStyle w:val="Odkaznapoznmkupodiarou"/>
          <w:rFonts w:ascii="Times New Roman" w:hAnsi="Times New Roman" w:cs="Times New Roman"/>
          <w:sz w:val="24"/>
          <w:szCs w:val="24"/>
        </w:rPr>
        <w:footnoteReference w:id="3"/>
      </w:r>
      <w:r w:rsidRPr="00D27CAE">
        <w:rPr>
          <w:rFonts w:ascii="Times New Roman" w:hAnsi="Times New Roman" w:cs="Times New Roman"/>
          <w:sz w:val="24"/>
          <w:szCs w:val="24"/>
        </w:rPr>
        <w:t>;</w:t>
      </w:r>
    </w:p>
    <w:p w14:paraId="585377C3" w14:textId="33D788C3" w:rsidR="00F84E4F" w:rsidRPr="00F64085" w:rsidRDefault="00F84E4F" w:rsidP="003D4050">
      <w:pPr>
        <w:pStyle w:val="Odsekzoznamu"/>
        <w:numPr>
          <w:ilvl w:val="0"/>
          <w:numId w:val="3"/>
        </w:numPr>
        <w:jc w:val="both"/>
        <w:rPr>
          <w:rFonts w:ascii="Times New Roman" w:hAnsi="Times New Roman" w:cs="Times New Roman"/>
          <w:sz w:val="24"/>
          <w:szCs w:val="24"/>
        </w:rPr>
      </w:pPr>
      <w:r w:rsidRPr="00F64085">
        <w:rPr>
          <w:rFonts w:ascii="Times New Roman" w:hAnsi="Times New Roman" w:cs="Times New Roman"/>
          <w:sz w:val="24"/>
          <w:szCs w:val="24"/>
        </w:rPr>
        <w:t xml:space="preserve">výdavky na spotrebný </w:t>
      </w:r>
      <w:r w:rsidR="003D4050" w:rsidRPr="00F64085">
        <w:rPr>
          <w:rFonts w:ascii="Times New Roman" w:hAnsi="Times New Roman" w:cs="Times New Roman"/>
          <w:sz w:val="24"/>
          <w:szCs w:val="24"/>
        </w:rPr>
        <w:t xml:space="preserve">tovar a prevádzkový </w:t>
      </w:r>
      <w:r w:rsidRPr="00F64085">
        <w:rPr>
          <w:rFonts w:ascii="Times New Roman" w:hAnsi="Times New Roman" w:cs="Times New Roman"/>
          <w:sz w:val="24"/>
          <w:szCs w:val="24"/>
        </w:rPr>
        <w:t>materiál pre realizáciu odborných a podporných aktivít projektu (</w:t>
      </w:r>
      <w:r w:rsidR="003D4050" w:rsidRPr="00F64085">
        <w:rPr>
          <w:rFonts w:ascii="Times New Roman" w:hAnsi="Times New Roman" w:cs="Times New Roman"/>
          <w:sz w:val="24"/>
          <w:szCs w:val="24"/>
        </w:rPr>
        <w:t xml:space="preserve">napr. </w:t>
      </w:r>
      <w:r w:rsidR="00F64085" w:rsidRPr="00F64085">
        <w:rPr>
          <w:rFonts w:ascii="Times New Roman" w:hAnsi="Times New Roman" w:cs="Times New Roman"/>
          <w:sz w:val="24"/>
          <w:szCs w:val="24"/>
        </w:rPr>
        <w:t xml:space="preserve">kancelársky </w:t>
      </w:r>
      <w:r w:rsidR="003D4050" w:rsidRPr="00F64085">
        <w:rPr>
          <w:rFonts w:ascii="Times New Roman" w:hAnsi="Times New Roman" w:cs="Times New Roman"/>
          <w:sz w:val="24"/>
          <w:szCs w:val="24"/>
        </w:rPr>
        <w:t xml:space="preserve">papier, </w:t>
      </w:r>
      <w:r w:rsidR="00992F33">
        <w:rPr>
          <w:rFonts w:ascii="Times New Roman" w:hAnsi="Times New Roman" w:cs="Times New Roman"/>
          <w:sz w:val="24"/>
          <w:szCs w:val="24"/>
        </w:rPr>
        <w:t>zakladače, euroobaly, obálky, popisovače, viazací materiál, tonery</w:t>
      </w:r>
      <w:r w:rsidR="00F64085" w:rsidRPr="00F64085">
        <w:rPr>
          <w:rFonts w:ascii="Times New Roman" w:hAnsi="Times New Roman" w:cs="Times New Roman"/>
          <w:sz w:val="24"/>
          <w:szCs w:val="24"/>
        </w:rPr>
        <w:t xml:space="preserve"> a pod.</w:t>
      </w:r>
      <w:r w:rsidRPr="00F64085">
        <w:rPr>
          <w:rFonts w:ascii="Times New Roman" w:hAnsi="Times New Roman" w:cs="Times New Roman"/>
          <w:sz w:val="24"/>
          <w:szCs w:val="24"/>
        </w:rPr>
        <w:t>);</w:t>
      </w:r>
    </w:p>
    <w:p w14:paraId="1526478A" w14:textId="6D465E00" w:rsidR="00F84E4F" w:rsidRPr="001C5351" w:rsidRDefault="00296329" w:rsidP="00F84E4F">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výdavky súvisia</w:t>
      </w:r>
      <w:bookmarkStart w:id="0" w:name="_GoBack"/>
      <w:bookmarkEnd w:id="0"/>
      <w:r w:rsidRPr="007755BF">
        <w:rPr>
          <w:rFonts w:ascii="Times New Roman" w:hAnsi="Times New Roman" w:cs="Times New Roman"/>
          <w:sz w:val="24"/>
          <w:szCs w:val="24"/>
        </w:rPr>
        <w:t>ce s informovaním a komunikáciou</w:t>
      </w:r>
      <w:r w:rsidR="00F84E4F" w:rsidRPr="007755BF">
        <w:rPr>
          <w:rFonts w:ascii="Times New Roman" w:hAnsi="Times New Roman" w:cs="Times New Roman"/>
          <w:sz w:val="24"/>
          <w:szCs w:val="24"/>
        </w:rPr>
        <w:t xml:space="preserve"> (</w:t>
      </w:r>
      <w:r w:rsidR="001C5351">
        <w:rPr>
          <w:rFonts w:ascii="Times New Roman" w:hAnsi="Times New Roman" w:cs="Times New Roman"/>
          <w:sz w:val="24"/>
          <w:szCs w:val="24"/>
        </w:rPr>
        <w:t xml:space="preserve">napr. </w:t>
      </w:r>
      <w:r w:rsidR="00A17A06">
        <w:rPr>
          <w:rFonts w:ascii="Times New Roman" w:hAnsi="Times New Roman" w:cs="Times New Roman"/>
          <w:sz w:val="24"/>
          <w:szCs w:val="24"/>
        </w:rPr>
        <w:t>letáky, skladačky, informačná tabuľa, roll-up</w:t>
      </w:r>
      <w:r w:rsidR="00A17AB4" w:rsidRPr="001C5351">
        <w:rPr>
          <w:rFonts w:ascii="Times New Roman" w:hAnsi="Times New Roman" w:cs="Times New Roman"/>
          <w:sz w:val="24"/>
          <w:szCs w:val="24"/>
        </w:rPr>
        <w:t xml:space="preserve"> a pod.</w:t>
      </w:r>
      <w:r w:rsidR="00F84E4F" w:rsidRPr="001C5351">
        <w:rPr>
          <w:rFonts w:ascii="Times New Roman" w:hAnsi="Times New Roman" w:cs="Times New Roman"/>
          <w:sz w:val="24"/>
          <w:szCs w:val="24"/>
        </w:rPr>
        <w:t>);</w:t>
      </w:r>
    </w:p>
    <w:p w14:paraId="40851575" w14:textId="1806BD6C" w:rsidR="00F84E4F" w:rsidRPr="00264F6F" w:rsidRDefault="00F84E4F" w:rsidP="00E27D59">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výdavky na obstaranie zariadenia a</w:t>
      </w:r>
      <w:r w:rsidR="00E27D59" w:rsidRPr="007755BF">
        <w:rPr>
          <w:rFonts w:ascii="Times New Roman" w:hAnsi="Times New Roman" w:cs="Times New Roman"/>
          <w:sz w:val="24"/>
          <w:szCs w:val="24"/>
        </w:rPr>
        <w:t> </w:t>
      </w:r>
      <w:r w:rsidRPr="00264F6F">
        <w:rPr>
          <w:rFonts w:ascii="Times New Roman" w:hAnsi="Times New Roman" w:cs="Times New Roman"/>
          <w:sz w:val="24"/>
          <w:szCs w:val="24"/>
        </w:rPr>
        <w:t>vybavenia, ktoré používa</w:t>
      </w:r>
      <w:r w:rsidR="005B7D3E" w:rsidRPr="00264F6F">
        <w:rPr>
          <w:rFonts w:ascii="Times New Roman" w:hAnsi="Times New Roman" w:cs="Times New Roman"/>
          <w:sz w:val="24"/>
          <w:szCs w:val="24"/>
        </w:rPr>
        <w:t xml:space="preserve"> výlučne </w:t>
      </w:r>
      <w:r w:rsidRPr="00264F6F">
        <w:rPr>
          <w:rFonts w:ascii="Times New Roman" w:hAnsi="Times New Roman" w:cs="Times New Roman"/>
          <w:sz w:val="24"/>
          <w:szCs w:val="24"/>
        </w:rPr>
        <w:t>riadiaci a administratívny personál</w:t>
      </w:r>
      <w:r w:rsidRPr="00264F6F">
        <w:rPr>
          <w:rStyle w:val="Odkaznapoznmkupodiarou"/>
          <w:rFonts w:ascii="Times New Roman" w:hAnsi="Times New Roman" w:cs="Times New Roman"/>
          <w:sz w:val="24"/>
          <w:szCs w:val="24"/>
        </w:rPr>
        <w:footnoteReference w:id="4"/>
      </w:r>
      <w:r w:rsidRPr="00264F6F">
        <w:rPr>
          <w:rFonts w:ascii="Times New Roman" w:hAnsi="Times New Roman" w:cs="Times New Roman"/>
          <w:sz w:val="24"/>
          <w:szCs w:val="24"/>
        </w:rPr>
        <w:t>;</w:t>
      </w:r>
    </w:p>
    <w:p w14:paraId="4C94FF72" w14:textId="77777777" w:rsidR="00E27D59" w:rsidRPr="00264F6F" w:rsidRDefault="00E27D59" w:rsidP="00E27D59">
      <w:pPr>
        <w:pStyle w:val="Odsekzoznamu"/>
        <w:jc w:val="both"/>
        <w:rPr>
          <w:rFonts w:ascii="Times New Roman" w:hAnsi="Times New Roman" w:cs="Times New Roman"/>
          <w:sz w:val="24"/>
          <w:szCs w:val="24"/>
        </w:rPr>
      </w:pPr>
    </w:p>
    <w:p w14:paraId="0B189F5E" w14:textId="346AE15E" w:rsidR="00F84E4F" w:rsidRPr="007755BF" w:rsidRDefault="00F84E4F" w:rsidP="00F84E4F">
      <w:pPr>
        <w:jc w:val="both"/>
        <w:rPr>
          <w:rFonts w:ascii="Times New Roman" w:hAnsi="Times New Roman" w:cs="Times New Roman"/>
          <w:b/>
          <w:sz w:val="24"/>
          <w:szCs w:val="24"/>
        </w:rPr>
      </w:pPr>
      <w:r w:rsidRPr="007755BF">
        <w:rPr>
          <w:rFonts w:ascii="Times New Roman" w:hAnsi="Times New Roman" w:cs="Times New Roman"/>
          <w:b/>
          <w:sz w:val="24"/>
          <w:szCs w:val="24"/>
        </w:rPr>
        <w:t>O</w:t>
      </w:r>
      <w:r w:rsidR="005B7D3E" w:rsidRPr="007755BF">
        <w:rPr>
          <w:rFonts w:ascii="Times New Roman" w:hAnsi="Times New Roman" w:cs="Times New Roman"/>
          <w:b/>
          <w:sz w:val="24"/>
          <w:szCs w:val="24"/>
        </w:rPr>
        <w:t>právnené výdavky priame</w:t>
      </w:r>
      <w:r w:rsidR="00125795">
        <w:rPr>
          <w:rFonts w:ascii="Times New Roman" w:hAnsi="Times New Roman" w:cs="Times New Roman"/>
          <w:b/>
          <w:sz w:val="24"/>
          <w:szCs w:val="24"/>
        </w:rPr>
        <w:t xml:space="preserve"> pre žiadateľa</w:t>
      </w:r>
      <w:r w:rsidR="005B7D3E" w:rsidRPr="007755BF">
        <w:rPr>
          <w:rFonts w:ascii="Times New Roman" w:hAnsi="Times New Roman" w:cs="Times New Roman"/>
          <w:b/>
          <w:sz w:val="24"/>
          <w:szCs w:val="24"/>
        </w:rPr>
        <w:t>:</w:t>
      </w:r>
    </w:p>
    <w:p w14:paraId="4AA6A2A7" w14:textId="241C6041" w:rsidR="00F84E4F" w:rsidRPr="00436D44" w:rsidRDefault="00F84E4F" w:rsidP="00F84E4F">
      <w:pPr>
        <w:pStyle w:val="Odsekzoznamu"/>
        <w:numPr>
          <w:ilvl w:val="0"/>
          <w:numId w:val="3"/>
        </w:numPr>
        <w:jc w:val="both"/>
        <w:rPr>
          <w:rFonts w:ascii="Times New Roman" w:hAnsi="Times New Roman" w:cs="Times New Roman"/>
          <w:color w:val="FF0000"/>
          <w:sz w:val="24"/>
          <w:szCs w:val="24"/>
        </w:rPr>
      </w:pPr>
      <w:r w:rsidRPr="007755BF">
        <w:rPr>
          <w:rFonts w:ascii="Times New Roman" w:hAnsi="Times New Roman" w:cs="Times New Roman"/>
          <w:sz w:val="24"/>
          <w:szCs w:val="24"/>
        </w:rPr>
        <w:t>výdavky na obstaranie zariadenia a</w:t>
      </w:r>
      <w:r w:rsidR="001C5351">
        <w:rPr>
          <w:rFonts w:ascii="Times New Roman" w:hAnsi="Times New Roman" w:cs="Times New Roman"/>
          <w:sz w:val="24"/>
          <w:szCs w:val="24"/>
        </w:rPr>
        <w:t> </w:t>
      </w:r>
      <w:r w:rsidRPr="007755BF">
        <w:rPr>
          <w:rFonts w:ascii="Times New Roman" w:hAnsi="Times New Roman" w:cs="Times New Roman"/>
          <w:sz w:val="24"/>
          <w:szCs w:val="24"/>
        </w:rPr>
        <w:t>vybavenia</w:t>
      </w:r>
      <w:r w:rsidR="001C5351">
        <w:rPr>
          <w:rFonts w:ascii="Times New Roman" w:hAnsi="Times New Roman" w:cs="Times New Roman"/>
          <w:sz w:val="24"/>
          <w:szCs w:val="24"/>
        </w:rPr>
        <w:t xml:space="preserve"> (vrátane kancelárskeho vybavenia)</w:t>
      </w:r>
      <w:r w:rsidRPr="007755BF">
        <w:rPr>
          <w:rFonts w:ascii="Times New Roman" w:hAnsi="Times New Roman" w:cs="Times New Roman"/>
          <w:sz w:val="24"/>
          <w:szCs w:val="24"/>
        </w:rPr>
        <w:t>, ktoré výlučne používa odborný personá</w:t>
      </w:r>
      <w:r w:rsidRPr="001C5351">
        <w:rPr>
          <w:rFonts w:ascii="Times New Roman" w:hAnsi="Times New Roman" w:cs="Times New Roman"/>
          <w:sz w:val="24"/>
          <w:szCs w:val="24"/>
        </w:rPr>
        <w:t>l</w:t>
      </w:r>
      <w:r w:rsidRPr="001C5351">
        <w:rPr>
          <w:rStyle w:val="Odkaznapoznmkupodiarou"/>
          <w:rFonts w:ascii="Times New Roman" w:hAnsi="Times New Roman" w:cs="Times New Roman"/>
          <w:sz w:val="24"/>
          <w:szCs w:val="24"/>
        </w:rPr>
        <w:footnoteReference w:id="5"/>
      </w:r>
      <w:r w:rsidRPr="001C5351">
        <w:rPr>
          <w:rFonts w:ascii="Times New Roman" w:hAnsi="Times New Roman" w:cs="Times New Roman"/>
          <w:sz w:val="24"/>
          <w:szCs w:val="24"/>
        </w:rPr>
        <w:t>;</w:t>
      </w:r>
    </w:p>
    <w:p w14:paraId="75BAC1C6" w14:textId="77777777" w:rsidR="00F84E4F" w:rsidRPr="007755BF" w:rsidRDefault="00F84E4F" w:rsidP="00F84E4F">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personálne výdavky</w:t>
      </w:r>
      <w:r w:rsidRPr="007755BF">
        <w:rPr>
          <w:rStyle w:val="Odkaznapoznmkupodiarou"/>
          <w:rFonts w:ascii="Times New Roman" w:hAnsi="Times New Roman" w:cs="Times New Roman"/>
          <w:sz w:val="24"/>
          <w:szCs w:val="24"/>
        </w:rPr>
        <w:footnoteReference w:id="6"/>
      </w:r>
      <w:r w:rsidRPr="007755BF">
        <w:rPr>
          <w:rFonts w:ascii="Times New Roman" w:hAnsi="Times New Roman" w:cs="Times New Roman"/>
          <w:sz w:val="24"/>
          <w:szCs w:val="24"/>
        </w:rPr>
        <w:t xml:space="preserve"> – odborný personál, ktorí sa výlučne podieľa na odborných aktivitách projektu</w:t>
      </w:r>
      <w:r w:rsidRPr="007755BF">
        <w:rPr>
          <w:rStyle w:val="Odkaznapoznmkupodiarou"/>
          <w:rFonts w:ascii="Times New Roman" w:hAnsi="Times New Roman" w:cs="Times New Roman"/>
          <w:sz w:val="24"/>
          <w:szCs w:val="24"/>
        </w:rPr>
        <w:footnoteReference w:id="7"/>
      </w:r>
      <w:r w:rsidRPr="007755BF">
        <w:rPr>
          <w:rFonts w:ascii="Times New Roman" w:hAnsi="Times New Roman" w:cs="Times New Roman"/>
          <w:sz w:val="24"/>
          <w:szCs w:val="24"/>
        </w:rPr>
        <w:t>;</w:t>
      </w:r>
    </w:p>
    <w:p w14:paraId="18A8B25B" w14:textId="7204FE29" w:rsidR="00F84E4F" w:rsidRPr="00264F6F" w:rsidRDefault="00F84E4F" w:rsidP="00F84E4F">
      <w:pPr>
        <w:pStyle w:val="Odsekzoznamu"/>
        <w:numPr>
          <w:ilvl w:val="0"/>
          <w:numId w:val="3"/>
        </w:numPr>
        <w:jc w:val="both"/>
        <w:rPr>
          <w:rFonts w:ascii="Times New Roman" w:hAnsi="Times New Roman" w:cs="Times New Roman"/>
          <w:sz w:val="24"/>
          <w:szCs w:val="24"/>
        </w:rPr>
      </w:pPr>
      <w:r w:rsidRPr="00264F6F">
        <w:rPr>
          <w:rFonts w:ascii="Times New Roman" w:hAnsi="Times New Roman" w:cs="Times New Roman"/>
          <w:sz w:val="24"/>
          <w:szCs w:val="24"/>
        </w:rPr>
        <w:t xml:space="preserve">cestovné náhrady - </w:t>
      </w:r>
      <w:r w:rsidR="006449B3">
        <w:rPr>
          <w:rFonts w:ascii="Times New Roman" w:hAnsi="Times New Roman" w:cs="Times New Roman"/>
          <w:sz w:val="24"/>
          <w:szCs w:val="24"/>
        </w:rPr>
        <w:t>zahraničné</w:t>
      </w:r>
      <w:r w:rsidR="006449B3" w:rsidRPr="00264F6F">
        <w:rPr>
          <w:rFonts w:ascii="Times New Roman" w:hAnsi="Times New Roman" w:cs="Times New Roman"/>
          <w:sz w:val="24"/>
          <w:szCs w:val="24"/>
        </w:rPr>
        <w:t xml:space="preserve"> </w:t>
      </w:r>
      <w:r w:rsidRPr="00264F6F">
        <w:rPr>
          <w:rFonts w:ascii="Times New Roman" w:hAnsi="Times New Roman" w:cs="Times New Roman"/>
          <w:sz w:val="24"/>
          <w:szCs w:val="24"/>
        </w:rPr>
        <w:t>pracovné cesty</w:t>
      </w:r>
      <w:r w:rsidR="00BA0F3B">
        <w:rPr>
          <w:rFonts w:ascii="Times New Roman" w:hAnsi="Times New Roman" w:cs="Times New Roman"/>
          <w:sz w:val="24"/>
          <w:szCs w:val="24"/>
        </w:rPr>
        <w:t xml:space="preserve"> a stáže</w:t>
      </w:r>
      <w:r w:rsidRPr="00264F6F">
        <w:rPr>
          <w:rFonts w:ascii="Times New Roman" w:hAnsi="Times New Roman" w:cs="Times New Roman"/>
          <w:sz w:val="24"/>
          <w:szCs w:val="24"/>
        </w:rPr>
        <w:t xml:space="preserve"> vzťahujúce sa na</w:t>
      </w:r>
      <w:r w:rsidR="006449B3">
        <w:rPr>
          <w:rFonts w:ascii="Times New Roman" w:hAnsi="Times New Roman" w:cs="Times New Roman"/>
          <w:sz w:val="24"/>
          <w:szCs w:val="24"/>
        </w:rPr>
        <w:t xml:space="preserve"> účastníkov projektu</w:t>
      </w:r>
      <w:r w:rsidRPr="00264F6F">
        <w:rPr>
          <w:rFonts w:ascii="Times New Roman" w:hAnsi="Times New Roman" w:cs="Times New Roman"/>
          <w:sz w:val="24"/>
          <w:szCs w:val="24"/>
        </w:rPr>
        <w:t>, ktoré vznikli v súvislosti s realizáciou odborných aktivít projektu (úhrada cestovných náhrad ako oprávnený výdavok platí len pri uzatvorení pracovnoprávnych vzťahov alebo obdobných pracovných vzťahov so žiadateľom/prijímateľom</w:t>
      </w:r>
      <w:r w:rsidRPr="00264F6F">
        <w:rPr>
          <w:rStyle w:val="Odkaznapoznmkupodiarou"/>
          <w:rFonts w:ascii="Times New Roman" w:hAnsi="Times New Roman" w:cs="Times New Roman"/>
          <w:sz w:val="24"/>
          <w:szCs w:val="24"/>
        </w:rPr>
        <w:footnoteReference w:id="8"/>
      </w:r>
      <w:r w:rsidRPr="00264F6F">
        <w:rPr>
          <w:rFonts w:ascii="Times New Roman" w:hAnsi="Times New Roman" w:cs="Times New Roman"/>
          <w:sz w:val="24"/>
          <w:szCs w:val="24"/>
        </w:rPr>
        <w:t>);</w:t>
      </w:r>
    </w:p>
    <w:p w14:paraId="2B17D5A2" w14:textId="2C913F1B" w:rsidR="00264F6F" w:rsidRDefault="00F84E4F" w:rsidP="00264F6F">
      <w:pPr>
        <w:pStyle w:val="Odsekzoznamu"/>
        <w:numPr>
          <w:ilvl w:val="0"/>
          <w:numId w:val="3"/>
        </w:numPr>
        <w:jc w:val="both"/>
        <w:rPr>
          <w:rFonts w:ascii="Times New Roman" w:hAnsi="Times New Roman" w:cs="Times New Roman"/>
          <w:sz w:val="24"/>
          <w:szCs w:val="24"/>
        </w:rPr>
      </w:pPr>
      <w:r w:rsidRPr="007755BF">
        <w:rPr>
          <w:rFonts w:ascii="Times New Roman" w:hAnsi="Times New Roman" w:cs="Times New Roman"/>
          <w:sz w:val="24"/>
          <w:szCs w:val="24"/>
        </w:rPr>
        <w:t>výdavky na analýzy, expert</w:t>
      </w:r>
      <w:r w:rsidR="00BA0F3B">
        <w:rPr>
          <w:rFonts w:ascii="Times New Roman" w:hAnsi="Times New Roman" w:cs="Times New Roman"/>
          <w:sz w:val="24"/>
          <w:szCs w:val="24"/>
        </w:rPr>
        <w:t>nú činnosť</w:t>
      </w:r>
      <w:r w:rsidRPr="007755BF">
        <w:rPr>
          <w:rFonts w:ascii="Times New Roman" w:hAnsi="Times New Roman" w:cs="Times New Roman"/>
          <w:sz w:val="24"/>
          <w:szCs w:val="24"/>
        </w:rPr>
        <w:t xml:space="preserve">, </w:t>
      </w:r>
      <w:r w:rsidR="00BA0F3B">
        <w:rPr>
          <w:rFonts w:ascii="Times New Roman" w:hAnsi="Times New Roman" w:cs="Times New Roman"/>
          <w:sz w:val="24"/>
          <w:szCs w:val="24"/>
        </w:rPr>
        <w:t>školenia,  a ďalšie</w:t>
      </w:r>
      <w:r w:rsidRPr="007755BF">
        <w:rPr>
          <w:rFonts w:ascii="Times New Roman" w:hAnsi="Times New Roman" w:cs="Times New Roman"/>
          <w:sz w:val="24"/>
          <w:szCs w:val="24"/>
        </w:rPr>
        <w:t xml:space="preserve"> služby súvisiace s implementáciou projektu – dodávané externe</w:t>
      </w:r>
      <w:r w:rsidR="003A4CC2">
        <w:rPr>
          <w:rFonts w:ascii="Times New Roman" w:hAnsi="Times New Roman" w:cs="Times New Roman"/>
          <w:sz w:val="24"/>
          <w:szCs w:val="24"/>
        </w:rPr>
        <w:t xml:space="preserve"> </w:t>
      </w:r>
      <w:r w:rsidRPr="007755BF">
        <w:rPr>
          <w:rFonts w:ascii="Times New Roman" w:hAnsi="Times New Roman" w:cs="Times New Roman"/>
          <w:sz w:val="24"/>
          <w:szCs w:val="24"/>
        </w:rPr>
        <w:t>;</w:t>
      </w:r>
    </w:p>
    <w:p w14:paraId="393F7ACF" w14:textId="77777777" w:rsidR="001350E9" w:rsidRPr="001350E9" w:rsidRDefault="001350E9" w:rsidP="001350E9">
      <w:pPr>
        <w:pStyle w:val="Odsekzoznamu"/>
        <w:jc w:val="both"/>
        <w:rPr>
          <w:rFonts w:ascii="Times New Roman" w:hAnsi="Times New Roman" w:cs="Times New Roman"/>
          <w:sz w:val="24"/>
          <w:szCs w:val="24"/>
        </w:rPr>
      </w:pPr>
    </w:p>
    <w:p w14:paraId="1148E584" w14:textId="77777777" w:rsidR="00F84E4F" w:rsidRPr="007755BF" w:rsidRDefault="00F84E4F" w:rsidP="00F84E4F">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3499C17C" w14:textId="77777777" w:rsidR="00F84E4F" w:rsidRPr="007755BF" w:rsidRDefault="00F84E4F" w:rsidP="00F84E4F">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09A0854C" w14:textId="77777777" w:rsidR="00F84E4F" w:rsidRPr="007755BF" w:rsidRDefault="00F84E4F" w:rsidP="00F84E4F">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9"/>
      </w:r>
      <w:r w:rsidRPr="007755BF">
        <w:rPr>
          <w:rFonts w:ascii="Times New Roman" w:hAnsi="Times New Roman" w:cs="Times New Roman"/>
          <w:sz w:val="24"/>
          <w:szCs w:val="24"/>
        </w:rPr>
        <w:t>, nehnuteľností a pozemkov;</w:t>
      </w:r>
    </w:p>
    <w:p w14:paraId="6E266084" w14:textId="77777777" w:rsidR="00F84E4F" w:rsidRPr="007755BF" w:rsidRDefault="00F84E4F" w:rsidP="00F84E4F">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10"/>
      </w:r>
      <w:r w:rsidRPr="007755BF">
        <w:rPr>
          <w:rFonts w:ascii="Times New Roman" w:hAnsi="Times New Roman" w:cs="Times New Roman"/>
          <w:sz w:val="24"/>
          <w:szCs w:val="24"/>
          <w:lang w:val="sk-SK"/>
        </w:rPr>
        <w:t>;</w:t>
      </w:r>
    </w:p>
    <w:p w14:paraId="515192BA"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176BD44"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0347AF6D"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70219447"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53426407"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prijímateľ dobrovoľne vynakladá na účely projektu, t. j. nad rozsah povinného spolufinancovania, resp. uzatvorenej zmluvy o NFP;</w:t>
      </w:r>
    </w:p>
    <w:p w14:paraId="3504313E"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7CE1E30C"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0D0472A"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5146B6DA"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20E1A390"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0B4C8C81"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12B6E564"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nepriame výdavky, ktoré prekročia vyzvaním stanovený percentuálny pomer z celkových oprávnených priamych výdavkov na projekt;</w:t>
      </w:r>
    </w:p>
    <w:p w14:paraId="0D8AED78"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25C4DAA7"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0C050C24"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38AF81E4"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11"/>
      </w:r>
      <w:r w:rsidRPr="007755BF">
        <w:rPr>
          <w:rFonts w:ascii="Times New Roman" w:hAnsi="Times New Roman" w:cs="Times New Roman"/>
          <w:sz w:val="24"/>
          <w:szCs w:val="24"/>
        </w:rPr>
        <w:t xml:space="preserve"> (napr. daň z nehnuteľnosti, daň z motorových vozidiel a pod.);</w:t>
      </w:r>
    </w:p>
    <w:p w14:paraId="4016E63D"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98B86E7"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08C33678"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440D584F" w14:textId="77777777" w:rsidR="00F84E4F" w:rsidRPr="007755BF" w:rsidRDefault="00F84E4F" w:rsidP="00F84E4F">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p w14:paraId="4F01A9D0" w14:textId="77777777" w:rsidR="00534885" w:rsidRPr="007755BF" w:rsidRDefault="00F84E4F" w:rsidP="00F84E4F">
      <w:pPr>
        <w:jc w:val="both"/>
        <w:rPr>
          <w:rFonts w:ascii="Times New Roman" w:hAnsi="Times New Roman" w:cs="Times New Roman"/>
          <w:sz w:val="24"/>
          <w:szCs w:val="24"/>
        </w:rPr>
      </w:pPr>
      <w:r w:rsidRPr="007755BF">
        <w:rPr>
          <w:rFonts w:ascii="Times New Roman" w:hAnsi="Times New Roman" w:cs="Times New Roman"/>
          <w:sz w:val="24"/>
          <w:szCs w:val="24"/>
        </w:rPr>
        <w:t xml:space="preserve"> </w:t>
      </w:r>
    </w:p>
    <w:sectPr w:rsidR="00534885" w:rsidRPr="007755BF" w:rsidSect="00071D07">
      <w:headerReference w:type="default" r:id="rId11"/>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82F2B" w14:textId="77777777" w:rsidR="00B5799F" w:rsidRDefault="00B5799F" w:rsidP="00534853">
      <w:pPr>
        <w:spacing w:after="0" w:line="240" w:lineRule="auto"/>
      </w:pPr>
      <w:r>
        <w:separator/>
      </w:r>
    </w:p>
  </w:endnote>
  <w:endnote w:type="continuationSeparator" w:id="0">
    <w:p w14:paraId="386FBC44" w14:textId="77777777" w:rsidR="00B5799F" w:rsidRDefault="00B5799F" w:rsidP="00534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48B2A" w14:textId="77777777" w:rsidR="00B5799F" w:rsidRDefault="00B5799F" w:rsidP="00534853">
      <w:pPr>
        <w:spacing w:after="0" w:line="240" w:lineRule="auto"/>
      </w:pPr>
      <w:r>
        <w:separator/>
      </w:r>
    </w:p>
  </w:footnote>
  <w:footnote w:type="continuationSeparator" w:id="0">
    <w:p w14:paraId="2E84AA72" w14:textId="77777777" w:rsidR="00B5799F" w:rsidRDefault="00B5799F" w:rsidP="00534853">
      <w:pPr>
        <w:spacing w:after="0" w:line="240" w:lineRule="auto"/>
      </w:pPr>
      <w:r>
        <w:continuationSeparator/>
      </w:r>
    </w:p>
  </w:footnote>
  <w:footnote w:id="1">
    <w:p w14:paraId="01476D28" w14:textId="1B9ADEA4" w:rsidR="00264DEE" w:rsidRPr="00F84E4F" w:rsidRDefault="00F84E4F" w:rsidP="00CA6104">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CA6104">
        <w:rPr>
          <w:rFonts w:ascii="Times New Roman" w:hAnsi="Times New Roman" w:cs="Times New Roman"/>
          <w:sz w:val="18"/>
          <w:szCs w:val="18"/>
        </w:rPr>
        <w:t xml:space="preserve">V zmysle Príručky pre žiadateľa o nenávratný finančný príspevok OP EVS v platnom znení </w:t>
      </w:r>
      <w:r w:rsidR="00CA6104" w:rsidRPr="00CA6104">
        <w:rPr>
          <w:rFonts w:ascii="Times New Roman" w:hAnsi="Times New Roman" w:cs="Times New Roman"/>
          <w:sz w:val="18"/>
          <w:szCs w:val="18"/>
        </w:rPr>
        <w:t>RO pre OP</w:t>
      </w:r>
      <w:r w:rsidR="00CA6104">
        <w:rPr>
          <w:rFonts w:ascii="Times New Roman" w:hAnsi="Times New Roman" w:cs="Times New Roman"/>
          <w:sz w:val="18"/>
          <w:szCs w:val="18"/>
        </w:rPr>
        <w:t xml:space="preserve"> </w:t>
      </w:r>
      <w:r w:rsidR="00CA6104" w:rsidRPr="00CA6104">
        <w:rPr>
          <w:rFonts w:ascii="Times New Roman" w:hAnsi="Times New Roman" w:cs="Times New Roman"/>
          <w:sz w:val="18"/>
          <w:szCs w:val="18"/>
        </w:rPr>
        <w:t>EVS stanovuje limit na nepriame výdavky na 20 % z celkových priamych výdavkov</w:t>
      </w:r>
      <w:r w:rsidR="00CA6104" w:rsidRPr="00CA6104">
        <w:rPr>
          <w:rStyle w:val="Odkaznakomentr"/>
          <w:rFonts w:ascii="Times New Roman" w:hAnsi="Times New Roman" w:cs="Times New Roman"/>
          <w:sz w:val="18"/>
          <w:szCs w:val="18"/>
        </w:rPr>
        <w:annotationRef/>
      </w:r>
      <w:r w:rsidR="00CA6104" w:rsidRPr="00CA6104">
        <w:rPr>
          <w:rFonts w:ascii="Times New Roman" w:hAnsi="Times New Roman" w:cs="Times New Roman"/>
          <w:sz w:val="18"/>
          <w:szCs w:val="18"/>
        </w:rPr>
        <w:t>.</w:t>
      </w:r>
      <w:r w:rsidR="00CA6104">
        <w:rPr>
          <w:sz w:val="22"/>
          <w:szCs w:val="22"/>
        </w:rPr>
        <w:t xml:space="preserve"> </w:t>
      </w:r>
    </w:p>
  </w:footnote>
  <w:footnote w:id="2">
    <w:p w14:paraId="25772170" w14:textId="33A1811B" w:rsidR="00F84E4F" w:rsidRPr="004C1867"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003D7518" w:rsidRPr="00E729A0">
        <w:rPr>
          <w:rFonts w:ascii="Times New Roman" w:hAnsi="Times New Roman" w:cs="Times New Roman"/>
          <w:sz w:val="18"/>
          <w:szCs w:val="18"/>
        </w:rPr>
        <w:t xml:space="preserve"> </w:t>
      </w:r>
      <w:r w:rsidR="003D7518" w:rsidRPr="003543D8">
        <w:rPr>
          <w:rFonts w:ascii="Times New Roman" w:hAnsi="Times New Roman" w:cs="Times New Roman"/>
          <w:sz w:val="18"/>
          <w:szCs w:val="18"/>
        </w:rPr>
        <w:t>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ŽoNFP ) potvrdeným zodpovedným zamestnancom personálneho útvaru organizácie, resp. štatutárnym zástupcom organizácie.</w:t>
      </w:r>
      <w:r w:rsidR="003D7518">
        <w:rPr>
          <w:sz w:val="16"/>
        </w:rPr>
        <w:t xml:space="preserve"> </w:t>
      </w:r>
      <w:r w:rsidRPr="004C1867">
        <w:rPr>
          <w:rFonts w:ascii="Times New Roman" w:hAnsi="Times New Roman" w:cs="Times New Roman"/>
          <w:sz w:val="18"/>
          <w:szCs w:val="18"/>
        </w:rPr>
        <w:t>Údaje musia vychádzať z reálnych podkladov (platové dekréty zamestnancov) a musia byť overiteľné v čase odborného hodnotenia ŽoNFP, ako aj v priebehu implementácie projektu.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3">
    <w:p w14:paraId="664A8A3F" w14:textId="77777777" w:rsidR="00F84E4F" w:rsidRPr="00F84E4F" w:rsidRDefault="00F84E4F" w:rsidP="00F84E4F">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4">
    <w:p w14:paraId="10CDFFED"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Obstaranie zariadenia/vybavenia musí byť prepojené s podpornými aktivitami projektu, t. j. musí byť preukázané využitie v rámci projektu (len samotné obstaranie zariadenia/vybavenia bez prepojenia a využitia v rámci projektu je neakceptovateľné), čo žiadateľ jasne popíše v opise projektu/“value for money“. Uvedená zásada sa aplikuje aj v prípade majetku, ktorý nie je vykázaný ako dlhodobý hmotný/nehmotný majetok (napr. počítač, dataprojektor, rôzne pomôcky).</w:t>
      </w:r>
    </w:p>
  </w:footnote>
  <w:footnote w:id="5">
    <w:p w14:paraId="49DFD7A7"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Obstaranie zariadenia/vybavenia musí byť prepojené s odbornými aktivitami projektu, t. j. musí byť preukázané využitie v rámci projektu (len samotné obstaranie zariadenia/vybavenia bez prepojenia a využitia v rámci projektu je neakceptovateľné), čo žiadateľ jasne popíše v opise projektu/“value for money“. Uvedená zásada sa aplikuje aj v prípade majetku, ktorý nie je vykázaný ako dlhodobý hmotný/nehmotný majetok (napr. počítač, dataprojektor, rôzne pomôcky).</w:t>
      </w:r>
    </w:p>
  </w:footnote>
  <w:footnote w:id="6">
    <w:p w14:paraId="2B60F01F" w14:textId="77777777" w:rsidR="00F84E4F" w:rsidRPr="00405F7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w:t>
      </w:r>
      <w:r w:rsidRPr="00405F7F">
        <w:rPr>
          <w:rFonts w:ascii="Times New Roman" w:hAnsi="Times New Roman" w:cs="Times New Roman"/>
          <w:sz w:val="18"/>
          <w:szCs w:val="18"/>
        </w:rPr>
        <w:t>projektu. V prípade osobných výdavkov je nevyhnutné, aby žiadateľ rešpektoval odmeňovanie jednotlivých pracovných pozícií s ohľadom na jeho predchádzajúcu mzdovú politiku.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posledných 12 mesiacov)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7">
    <w:p w14:paraId="40E88F8E"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Výdavky vzniknuté výlučne na základe pracovnoprávneho vzťahu (pracovný pomer, dohody o prácach vykonávaných mimo pracovného pomeru) alebo obdobného pracovného vzťahu (štátnozamestnanecký pomer, výkon práce vo verejnom záujme).</w:t>
      </w:r>
    </w:p>
  </w:footnote>
  <w:footnote w:id="8">
    <w:p w14:paraId="34D82090"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9">
    <w:p w14:paraId="62661651" w14:textId="77777777" w:rsidR="00F84E4F" w:rsidRPr="00F84E4F" w:rsidRDefault="00F84E4F" w:rsidP="00F84E4F">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017311BF" w14:textId="77777777" w:rsidR="00F84E4F" w:rsidRPr="00F84E4F" w:rsidRDefault="00F84E4F" w:rsidP="00F84E4F">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367C8A94" w14:textId="77777777" w:rsidR="00F84E4F" w:rsidRPr="00F84E4F" w:rsidRDefault="00F84E4F" w:rsidP="00F84E4F">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62DD2076" w14:textId="77777777" w:rsidR="00F84E4F" w:rsidRPr="00F84E4F" w:rsidRDefault="00F84E4F" w:rsidP="00F84E4F">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58334C39" w14:textId="77777777" w:rsidR="00F84E4F" w:rsidRPr="00F84E4F" w:rsidRDefault="00F84E4F" w:rsidP="00F84E4F">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10">
    <w:p w14:paraId="42FFFC20"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Uvedené môže mať vplyv na správne určenie finančnej medzery pri projektoch generujúcich príjmy.</w:t>
      </w:r>
    </w:p>
  </w:footnote>
  <w:footnote w:id="11">
    <w:p w14:paraId="71783429" w14:textId="77777777"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E24FE" w14:textId="77777777" w:rsidR="00533A0A" w:rsidRDefault="00533A0A" w:rsidP="00534853">
    <w:pPr>
      <w:pStyle w:val="Hlavika"/>
      <w:jc w:val="right"/>
      <w:rPr>
        <w:rFonts w:cstheme="minorHAnsi"/>
      </w:rPr>
    </w:pPr>
  </w:p>
  <w:p w14:paraId="3ADDF100" w14:textId="77777777" w:rsidR="00071D07" w:rsidRDefault="00071D07" w:rsidP="00071D07">
    <w:pPr>
      <w:pStyle w:val="Hlavika"/>
    </w:pPr>
    <w:r>
      <w:rPr>
        <w:noProof/>
      </w:rPr>
      <w:fldChar w:fldCharType="begin"/>
    </w:r>
    <w:r>
      <w:rPr>
        <w:noProof/>
      </w:rPr>
      <w:instrText xml:space="preserve"> INCLUDEPICTURE  "cid:5CD4AC02-FF01-41FA-A739-1164116CB826" \* MERGEFORMATINET </w:instrText>
    </w:r>
    <w:r>
      <w:rPr>
        <w:noProof/>
      </w:rPr>
      <w:fldChar w:fldCharType="separate"/>
    </w:r>
    <w:r>
      <w:rPr>
        <w:noProof/>
      </w:rPr>
      <w:fldChar w:fldCharType="begin"/>
    </w:r>
    <w:r>
      <w:rPr>
        <w:noProof/>
      </w:rPr>
      <w:instrText xml:space="preserve"> INCLUDEPICTURE  "cid:5CD4AC02-FF01-41FA-A739-1164116CB826" \* MERGEFORMATINET </w:instrText>
    </w:r>
    <w:r>
      <w:rPr>
        <w:noProof/>
      </w:rPr>
      <w:fldChar w:fldCharType="separate"/>
    </w:r>
    <w:r w:rsidR="00647565">
      <w:rPr>
        <w:noProof/>
      </w:rPr>
      <w:fldChar w:fldCharType="begin"/>
    </w:r>
    <w:r w:rsidR="00647565">
      <w:rPr>
        <w:noProof/>
      </w:rPr>
      <w:instrText xml:space="preserve"> INCLUDEPICTURE  "cid:5CD4AC02-FF01-41FA-A739-1164116CB826" \* MERGEFORMATINET </w:instrText>
    </w:r>
    <w:r w:rsidR="00647565">
      <w:rPr>
        <w:noProof/>
      </w:rPr>
      <w:fldChar w:fldCharType="separate"/>
    </w:r>
    <w:r w:rsidR="00A56143">
      <w:rPr>
        <w:noProof/>
      </w:rPr>
      <w:fldChar w:fldCharType="begin"/>
    </w:r>
    <w:r w:rsidR="00A56143">
      <w:rPr>
        <w:noProof/>
      </w:rPr>
      <w:instrText xml:space="preserve"> INCLUDEPICTURE  "cid:5CD4AC02-FF01-41FA-A739-1164116CB826" \* MERGEFORMATINET </w:instrText>
    </w:r>
    <w:r w:rsidR="00A56143">
      <w:rPr>
        <w:noProof/>
      </w:rPr>
      <w:fldChar w:fldCharType="separate"/>
    </w:r>
    <w:r w:rsidR="00A7780A">
      <w:rPr>
        <w:noProof/>
      </w:rPr>
      <w:fldChar w:fldCharType="begin"/>
    </w:r>
    <w:r w:rsidR="00A7780A">
      <w:rPr>
        <w:noProof/>
      </w:rPr>
      <w:instrText xml:space="preserve"> INCLUDEPICTURE  "cid:5CD4AC02-FF01-41FA-A739-1164116CB826" \* MERGEFORMATINET </w:instrText>
    </w:r>
    <w:r w:rsidR="00A7780A">
      <w:rPr>
        <w:noProof/>
      </w:rPr>
      <w:fldChar w:fldCharType="separate"/>
    </w:r>
    <w:r w:rsidR="00C52D8D">
      <w:rPr>
        <w:noProof/>
      </w:rPr>
      <w:fldChar w:fldCharType="begin"/>
    </w:r>
    <w:r w:rsidR="00C52D8D">
      <w:rPr>
        <w:noProof/>
      </w:rPr>
      <w:instrText xml:space="preserve"> INCLUDEPICTURE  "cid:5CD4AC02-FF01-41FA-A739-1164116CB826" \* MERGEFORMATINET </w:instrText>
    </w:r>
    <w:r w:rsidR="00C52D8D">
      <w:rPr>
        <w:noProof/>
      </w:rPr>
      <w:fldChar w:fldCharType="separate"/>
    </w:r>
    <w:r w:rsidR="00846259">
      <w:rPr>
        <w:noProof/>
      </w:rPr>
      <w:fldChar w:fldCharType="begin"/>
    </w:r>
    <w:r w:rsidR="00846259">
      <w:rPr>
        <w:noProof/>
      </w:rPr>
      <w:instrText xml:space="preserve"> INCLUDEPICTURE  "cid:5CD4AC02-FF01-41FA-A739-1164116CB826" \* MERGEFORMATINET </w:instrText>
    </w:r>
    <w:r w:rsidR="00846259">
      <w:rPr>
        <w:noProof/>
      </w:rPr>
      <w:fldChar w:fldCharType="separate"/>
    </w:r>
    <w:r w:rsidR="00734C30">
      <w:rPr>
        <w:noProof/>
      </w:rPr>
      <w:fldChar w:fldCharType="begin"/>
    </w:r>
    <w:r w:rsidR="00734C30">
      <w:rPr>
        <w:noProof/>
      </w:rPr>
      <w:instrText xml:space="preserve"> INCLUDEPICTURE  "cid:5CD4AC02-FF01-41FA-A739-1164116CB826" \* MERGEFORMATINET </w:instrText>
    </w:r>
    <w:r w:rsidR="00734C30">
      <w:rPr>
        <w:noProof/>
      </w:rPr>
      <w:fldChar w:fldCharType="separate"/>
    </w:r>
    <w:r w:rsidR="009F284B">
      <w:rPr>
        <w:noProof/>
      </w:rPr>
      <w:fldChar w:fldCharType="begin"/>
    </w:r>
    <w:r w:rsidR="009F284B">
      <w:rPr>
        <w:noProof/>
      </w:rPr>
      <w:instrText xml:space="preserve"> INCLUDEPICTURE  "cid:5CD4AC02-FF01-41FA-A739-1164116CB826" \* MERGEFORMATINET </w:instrText>
    </w:r>
    <w:r w:rsidR="009F284B">
      <w:rPr>
        <w:noProof/>
      </w:rPr>
      <w:fldChar w:fldCharType="separate"/>
    </w:r>
    <w:r w:rsidR="00D66F6D">
      <w:rPr>
        <w:noProof/>
      </w:rPr>
      <w:fldChar w:fldCharType="begin"/>
    </w:r>
    <w:r w:rsidR="00D66F6D">
      <w:rPr>
        <w:noProof/>
      </w:rPr>
      <w:instrText xml:space="preserve"> INCLUDEPICTURE  "cid:5CD4AC02-FF01-41FA-A739-1164116CB826" \* MERGEFORMATINET </w:instrText>
    </w:r>
    <w:r w:rsidR="00D66F6D">
      <w:rPr>
        <w:noProof/>
      </w:rPr>
      <w:fldChar w:fldCharType="separate"/>
    </w:r>
    <w:r w:rsidR="0097161F">
      <w:rPr>
        <w:noProof/>
      </w:rPr>
      <w:fldChar w:fldCharType="begin"/>
    </w:r>
    <w:r w:rsidR="0097161F">
      <w:rPr>
        <w:noProof/>
      </w:rPr>
      <w:instrText xml:space="preserve"> INCLUDEPICTURE  "cid:5CD4AC02-FF01-41FA-A739-1164116CB826" \* MERGEFORMATINET </w:instrText>
    </w:r>
    <w:r w:rsidR="0097161F">
      <w:rPr>
        <w:noProof/>
      </w:rPr>
      <w:fldChar w:fldCharType="separate"/>
    </w:r>
    <w:r w:rsidR="008D4922">
      <w:rPr>
        <w:noProof/>
      </w:rPr>
      <w:fldChar w:fldCharType="begin"/>
    </w:r>
    <w:r w:rsidR="008D4922">
      <w:rPr>
        <w:noProof/>
      </w:rPr>
      <w:instrText xml:space="preserve"> INCLUDEPICTURE  "cid:5CD4AC02-FF01-41FA-A739-1164116CB826" \* MERGEFORMATINET </w:instrText>
    </w:r>
    <w:r w:rsidR="008D4922">
      <w:rPr>
        <w:noProof/>
      </w:rPr>
      <w:fldChar w:fldCharType="separate"/>
    </w:r>
    <w:r w:rsidR="00436616">
      <w:rPr>
        <w:noProof/>
      </w:rPr>
      <w:fldChar w:fldCharType="begin"/>
    </w:r>
    <w:r w:rsidR="00436616">
      <w:rPr>
        <w:noProof/>
      </w:rPr>
      <w:instrText xml:space="preserve"> INCLUDEPICTURE  "cid:5CD4AC02-FF01-41FA-A739-1164116CB826" \* MERGEFORMATINET </w:instrText>
    </w:r>
    <w:r w:rsidR="00436616">
      <w:rPr>
        <w:noProof/>
      </w:rPr>
      <w:fldChar w:fldCharType="separate"/>
    </w:r>
    <w:r w:rsidR="00B5799F">
      <w:rPr>
        <w:noProof/>
      </w:rPr>
      <w:fldChar w:fldCharType="begin"/>
    </w:r>
    <w:r w:rsidR="00B5799F">
      <w:rPr>
        <w:noProof/>
      </w:rPr>
      <w:instrText xml:space="preserve"> INCLUDEPICTURE  "cid:5CD4AC02-FF01-41FA-A739-1164116CB826" \* MERGEFORMATINET </w:instrText>
    </w:r>
    <w:r w:rsidR="00B5799F">
      <w:rPr>
        <w:noProof/>
      </w:rPr>
      <w:fldChar w:fldCharType="separate"/>
    </w:r>
    <w:r w:rsidR="00673A73">
      <w:rPr>
        <w:noProof/>
      </w:rPr>
      <w:fldChar w:fldCharType="begin"/>
    </w:r>
    <w:r w:rsidR="00673A73">
      <w:rPr>
        <w:noProof/>
      </w:rPr>
      <w:instrText xml:space="preserve"> INCLUDEPICTURE  "cid:5CD4AC02-FF01-41FA-A739-1164116CB826" \* MERGEFORMATINET </w:instrText>
    </w:r>
    <w:r w:rsidR="00673A73">
      <w:rPr>
        <w:noProof/>
      </w:rPr>
      <w:fldChar w:fldCharType="separate"/>
    </w:r>
    <w:r w:rsidR="005D39A7">
      <w:rPr>
        <w:noProof/>
      </w:rPr>
      <w:fldChar w:fldCharType="begin"/>
    </w:r>
    <w:r w:rsidR="005D39A7">
      <w:rPr>
        <w:noProof/>
      </w:rPr>
      <w:instrText xml:space="preserve"> INCLUDEPICTURE  "cid:5CD4AC02-FF01-41FA-A739-1164116CB826" \* MERGEFORMATINET </w:instrText>
    </w:r>
    <w:r w:rsidR="005D39A7">
      <w:rPr>
        <w:noProof/>
      </w:rPr>
      <w:fldChar w:fldCharType="separate"/>
    </w:r>
    <w:r w:rsidR="00B7279E">
      <w:rPr>
        <w:noProof/>
      </w:rPr>
      <w:fldChar w:fldCharType="begin"/>
    </w:r>
    <w:r w:rsidR="00B7279E">
      <w:rPr>
        <w:noProof/>
      </w:rPr>
      <w:instrText xml:space="preserve"> INCLUDEPICTURE  "cid:5CD4AC02-FF01-41FA-A739-1164116CB826" \* MERGEFORMATINET </w:instrText>
    </w:r>
    <w:r w:rsidR="00B7279E">
      <w:rPr>
        <w:noProof/>
      </w:rPr>
      <w:fldChar w:fldCharType="separate"/>
    </w:r>
    <w:r w:rsidR="00B7279E">
      <w:rPr>
        <w:noProof/>
      </w:rPr>
      <w:fldChar w:fldCharType="begin"/>
    </w:r>
    <w:r w:rsidR="00B7279E">
      <w:rPr>
        <w:noProof/>
      </w:rPr>
      <w:instrText xml:space="preserve"> INCLUDEPICTURE  "cid:5CD4AC02-FF01-41FA-A739-1164116CB826" \* MERGEFORMATINET </w:instrText>
    </w:r>
    <w:r w:rsidR="00B7279E">
      <w:rPr>
        <w:noProof/>
      </w:rPr>
      <w:fldChar w:fldCharType="separate"/>
    </w:r>
    <w:r w:rsidR="00B7279E">
      <w:rPr>
        <w:noProof/>
      </w:rPr>
      <w:fldChar w:fldCharType="begin"/>
    </w:r>
    <w:r w:rsidR="00B7279E">
      <w:rPr>
        <w:noProof/>
      </w:rPr>
      <w:instrText xml:space="preserve"> INCLUDEPICTURE  "cid:5CD4AC02-FF01-41FA-A739-1164116CB826" \* MERGEFORMATINET </w:instrText>
    </w:r>
    <w:r w:rsidR="00B7279E">
      <w:rPr>
        <w:noProof/>
      </w:rPr>
      <w:fldChar w:fldCharType="separate"/>
    </w:r>
    <w:r w:rsidR="00256B6A">
      <w:rPr>
        <w:noProof/>
      </w:rPr>
      <w:fldChar w:fldCharType="begin"/>
    </w:r>
    <w:r w:rsidR="00256B6A">
      <w:rPr>
        <w:noProof/>
      </w:rPr>
      <w:instrText xml:space="preserve"> INCLUDEPICTURE  "cid:5CD4AC02-FF01-41FA-A739-1164116CB826" \* MERGEFORMATINET </w:instrText>
    </w:r>
    <w:r w:rsidR="00256B6A">
      <w:rPr>
        <w:noProof/>
      </w:rPr>
      <w:fldChar w:fldCharType="separate"/>
    </w:r>
    <w:r w:rsidR="009305E2">
      <w:rPr>
        <w:noProof/>
      </w:rPr>
      <w:fldChar w:fldCharType="begin"/>
    </w:r>
    <w:r w:rsidR="009305E2">
      <w:rPr>
        <w:noProof/>
      </w:rPr>
      <w:instrText xml:space="preserve"> INCLUDEPICTURE  "cid:5CD4AC02-FF01-41FA-A739-1164116CB826" \* MERGEFORMATINET </w:instrText>
    </w:r>
    <w:r w:rsidR="009305E2">
      <w:rPr>
        <w:noProof/>
      </w:rPr>
      <w:fldChar w:fldCharType="separate"/>
    </w:r>
    <w:r w:rsidR="00800BB6">
      <w:rPr>
        <w:noProof/>
      </w:rPr>
      <w:fldChar w:fldCharType="begin"/>
    </w:r>
    <w:r w:rsidR="00800BB6">
      <w:rPr>
        <w:noProof/>
      </w:rPr>
      <w:instrText xml:space="preserve"> INCLUDEPICTURE  "cid:5CD4AC02-FF01-41FA-A739-1164116CB826" \* MERGEFORMATINET </w:instrText>
    </w:r>
    <w:r w:rsidR="00800BB6">
      <w:rPr>
        <w:noProof/>
      </w:rPr>
      <w:fldChar w:fldCharType="separate"/>
    </w:r>
    <w:r w:rsidR="00354C5D">
      <w:rPr>
        <w:noProof/>
      </w:rPr>
      <w:fldChar w:fldCharType="begin"/>
    </w:r>
    <w:r w:rsidR="00354C5D">
      <w:rPr>
        <w:noProof/>
      </w:rPr>
      <w:instrText xml:space="preserve"> INCLUDEPICTURE  "cid:5CD4AC02-FF01-41FA-A739-1164116CB826" \* MERGEFORMATINET </w:instrText>
    </w:r>
    <w:r w:rsidR="00354C5D">
      <w:rPr>
        <w:noProof/>
      </w:rPr>
      <w:fldChar w:fldCharType="separate"/>
    </w:r>
    <w:r w:rsidR="00156EAD">
      <w:rPr>
        <w:noProof/>
      </w:rPr>
      <w:fldChar w:fldCharType="begin"/>
    </w:r>
    <w:r w:rsidR="00156EAD">
      <w:rPr>
        <w:noProof/>
      </w:rPr>
      <w:instrText xml:space="preserve"> INCLUDEPICTURE  "cid:5CD4AC02-FF01-41FA-A739-1164116CB826" \* MERGEFORMATINET </w:instrText>
    </w:r>
    <w:r w:rsidR="00156EAD">
      <w:rPr>
        <w:noProof/>
      </w:rPr>
      <w:fldChar w:fldCharType="separate"/>
    </w:r>
    <w:r w:rsidR="003543D8">
      <w:rPr>
        <w:noProof/>
      </w:rPr>
      <w:fldChar w:fldCharType="begin"/>
    </w:r>
    <w:r w:rsidR="003543D8">
      <w:rPr>
        <w:noProof/>
      </w:rPr>
      <w:instrText xml:space="preserve"> </w:instrText>
    </w:r>
    <w:r w:rsidR="003543D8">
      <w:rPr>
        <w:noProof/>
      </w:rPr>
      <w:instrText>INCLUDEPICTURE  "cid:5CD4AC02-FF01-41FA-A739-1164116CB826" \* MERGEFORMATINET</w:instrText>
    </w:r>
    <w:r w:rsidR="003543D8">
      <w:rPr>
        <w:noProof/>
      </w:rPr>
      <w:instrText xml:space="preserve"> </w:instrText>
    </w:r>
    <w:r w:rsidR="003543D8">
      <w:rPr>
        <w:noProof/>
      </w:rPr>
      <w:fldChar w:fldCharType="separate"/>
    </w:r>
    <w:r w:rsidR="003543D8">
      <w:rPr>
        <w:noProof/>
      </w:rPr>
      <w:pict w14:anchorId="56D89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75.75pt;visibility:visible">
          <v:imagedata r:id="rId1" r:href="rId2"/>
        </v:shape>
      </w:pict>
    </w:r>
    <w:r w:rsidR="003543D8">
      <w:rPr>
        <w:noProof/>
      </w:rPr>
      <w:fldChar w:fldCharType="end"/>
    </w:r>
    <w:r w:rsidR="00156EAD">
      <w:rPr>
        <w:noProof/>
      </w:rPr>
      <w:fldChar w:fldCharType="end"/>
    </w:r>
    <w:r w:rsidR="00354C5D">
      <w:rPr>
        <w:noProof/>
      </w:rPr>
      <w:fldChar w:fldCharType="end"/>
    </w:r>
    <w:r w:rsidR="00800BB6">
      <w:rPr>
        <w:noProof/>
      </w:rPr>
      <w:fldChar w:fldCharType="end"/>
    </w:r>
    <w:r w:rsidR="009305E2">
      <w:rPr>
        <w:noProof/>
      </w:rPr>
      <w:fldChar w:fldCharType="end"/>
    </w:r>
    <w:r w:rsidR="00256B6A">
      <w:rPr>
        <w:noProof/>
      </w:rPr>
      <w:fldChar w:fldCharType="end"/>
    </w:r>
    <w:r w:rsidR="00B7279E">
      <w:rPr>
        <w:noProof/>
      </w:rPr>
      <w:fldChar w:fldCharType="end"/>
    </w:r>
    <w:r w:rsidR="00B7279E">
      <w:rPr>
        <w:noProof/>
      </w:rPr>
      <w:fldChar w:fldCharType="end"/>
    </w:r>
    <w:r w:rsidR="00B7279E">
      <w:rPr>
        <w:noProof/>
      </w:rPr>
      <w:fldChar w:fldCharType="end"/>
    </w:r>
    <w:r w:rsidR="005D39A7">
      <w:rPr>
        <w:noProof/>
      </w:rPr>
      <w:fldChar w:fldCharType="end"/>
    </w:r>
    <w:r w:rsidR="00673A73">
      <w:rPr>
        <w:noProof/>
      </w:rPr>
      <w:fldChar w:fldCharType="end"/>
    </w:r>
    <w:r w:rsidR="00B5799F">
      <w:rPr>
        <w:noProof/>
      </w:rPr>
      <w:fldChar w:fldCharType="end"/>
    </w:r>
    <w:r w:rsidR="00436616">
      <w:rPr>
        <w:noProof/>
      </w:rPr>
      <w:fldChar w:fldCharType="end"/>
    </w:r>
    <w:r w:rsidR="008D4922">
      <w:rPr>
        <w:noProof/>
      </w:rPr>
      <w:fldChar w:fldCharType="end"/>
    </w:r>
    <w:r w:rsidR="0097161F">
      <w:rPr>
        <w:noProof/>
      </w:rPr>
      <w:fldChar w:fldCharType="end"/>
    </w:r>
    <w:r w:rsidR="00D66F6D">
      <w:rPr>
        <w:noProof/>
      </w:rPr>
      <w:fldChar w:fldCharType="end"/>
    </w:r>
    <w:r w:rsidR="009F284B">
      <w:rPr>
        <w:noProof/>
      </w:rPr>
      <w:fldChar w:fldCharType="end"/>
    </w:r>
    <w:r w:rsidR="00734C30">
      <w:rPr>
        <w:noProof/>
      </w:rPr>
      <w:fldChar w:fldCharType="end"/>
    </w:r>
    <w:r w:rsidR="00846259">
      <w:rPr>
        <w:noProof/>
      </w:rPr>
      <w:fldChar w:fldCharType="end"/>
    </w:r>
    <w:r w:rsidR="00C52D8D">
      <w:rPr>
        <w:noProof/>
      </w:rPr>
      <w:fldChar w:fldCharType="end"/>
    </w:r>
    <w:r w:rsidR="00A7780A">
      <w:rPr>
        <w:noProof/>
      </w:rPr>
      <w:fldChar w:fldCharType="end"/>
    </w:r>
    <w:r w:rsidR="00A56143">
      <w:rPr>
        <w:noProof/>
      </w:rPr>
      <w:fldChar w:fldCharType="end"/>
    </w:r>
    <w:r w:rsidR="00647565">
      <w:rPr>
        <w:noProof/>
      </w:rPr>
      <w:fldChar w:fldCharType="end"/>
    </w:r>
    <w:r>
      <w:rPr>
        <w:noProof/>
      </w:rPr>
      <w:fldChar w:fldCharType="end"/>
    </w:r>
    <w:r>
      <w:rPr>
        <w:noProof/>
      </w:rPr>
      <w:fldChar w:fldCharType="end"/>
    </w:r>
  </w:p>
  <w:p w14:paraId="6F7366D6" w14:textId="2A6B3B98" w:rsidR="00071D07" w:rsidRDefault="007B0944" w:rsidP="00071D07">
    <w:pPr>
      <w:pStyle w:val="Hlavika"/>
      <w:jc w:val="right"/>
    </w:pPr>
    <w:r>
      <w:t xml:space="preserve">Príloha č. </w:t>
    </w:r>
    <w:r w:rsidR="00673A73">
      <w:t xml:space="preserve">7 </w:t>
    </w:r>
    <w:r w:rsidR="00071D07">
      <w:t xml:space="preserve">vyzvania </w:t>
    </w:r>
  </w:p>
  <w:p w14:paraId="393D17C7" w14:textId="77777777" w:rsidR="00AA3E27" w:rsidRPr="00AA3E27" w:rsidRDefault="00AA3E27" w:rsidP="00071D07">
    <w:pPr>
      <w:pStyle w:val="Hlavika"/>
      <w:tabs>
        <w:tab w:val="clear" w:pos="4536"/>
        <w:tab w:val="center" w:pos="0"/>
      </w:tabs>
      <w:rPr>
        <w:rFonts w:ascii="Verdana" w:hAnsi="Verdana" w:cs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6108E990"/>
    <w:lvl w:ilvl="0" w:tplc="BC9401FE">
      <w:numFmt w:val="bullet"/>
      <w:lvlText w:val="-"/>
      <w:lvlJc w:val="left"/>
      <w:pPr>
        <w:ind w:left="720" w:hanging="360"/>
      </w:pPr>
      <w:rPr>
        <w:rFonts w:ascii="Verdana" w:eastAsiaTheme="minorHAnsi" w:hAnsi="Verdana" w:cstheme="minorBidi"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BB"/>
    <w:rsid w:val="00002B12"/>
    <w:rsid w:val="000073D5"/>
    <w:rsid w:val="00042028"/>
    <w:rsid w:val="000430D6"/>
    <w:rsid w:val="000558C8"/>
    <w:rsid w:val="00064C06"/>
    <w:rsid w:val="00065B51"/>
    <w:rsid w:val="00071D07"/>
    <w:rsid w:val="00075F61"/>
    <w:rsid w:val="000B1FB0"/>
    <w:rsid w:val="00113B92"/>
    <w:rsid w:val="00125795"/>
    <w:rsid w:val="001350E9"/>
    <w:rsid w:val="00145C45"/>
    <w:rsid w:val="00147A08"/>
    <w:rsid w:val="00156EAD"/>
    <w:rsid w:val="00157CF3"/>
    <w:rsid w:val="00164B44"/>
    <w:rsid w:val="00182107"/>
    <w:rsid w:val="00185592"/>
    <w:rsid w:val="001B2321"/>
    <w:rsid w:val="001C5351"/>
    <w:rsid w:val="001E1500"/>
    <w:rsid w:val="001E56DC"/>
    <w:rsid w:val="001E7812"/>
    <w:rsid w:val="001F7F93"/>
    <w:rsid w:val="0022546D"/>
    <w:rsid w:val="00240F2D"/>
    <w:rsid w:val="002444F8"/>
    <w:rsid w:val="00246179"/>
    <w:rsid w:val="00256B6A"/>
    <w:rsid w:val="00264DEE"/>
    <w:rsid w:val="00264F6F"/>
    <w:rsid w:val="00267469"/>
    <w:rsid w:val="002768E3"/>
    <w:rsid w:val="00291CC9"/>
    <w:rsid w:val="00296329"/>
    <w:rsid w:val="002A14EF"/>
    <w:rsid w:val="002A2F6D"/>
    <w:rsid w:val="002E18D5"/>
    <w:rsid w:val="002E4F14"/>
    <w:rsid w:val="002F42A4"/>
    <w:rsid w:val="00304A63"/>
    <w:rsid w:val="0031442D"/>
    <w:rsid w:val="00340E09"/>
    <w:rsid w:val="00347A54"/>
    <w:rsid w:val="003521DD"/>
    <w:rsid w:val="003543D8"/>
    <w:rsid w:val="00354C5D"/>
    <w:rsid w:val="0036097B"/>
    <w:rsid w:val="003634A1"/>
    <w:rsid w:val="00363D6D"/>
    <w:rsid w:val="00387A49"/>
    <w:rsid w:val="003952B7"/>
    <w:rsid w:val="003A4CC2"/>
    <w:rsid w:val="003D0AEC"/>
    <w:rsid w:val="003D4050"/>
    <w:rsid w:val="003D7518"/>
    <w:rsid w:val="003E0CEA"/>
    <w:rsid w:val="00400C9D"/>
    <w:rsid w:val="004054A8"/>
    <w:rsid w:val="00405F7F"/>
    <w:rsid w:val="00436616"/>
    <w:rsid w:val="00436D44"/>
    <w:rsid w:val="004701DE"/>
    <w:rsid w:val="00470916"/>
    <w:rsid w:val="004810F8"/>
    <w:rsid w:val="004819A5"/>
    <w:rsid w:val="00484B35"/>
    <w:rsid w:val="004966D8"/>
    <w:rsid w:val="00497BC2"/>
    <w:rsid w:val="004A7FE2"/>
    <w:rsid w:val="004B735A"/>
    <w:rsid w:val="004B7CD5"/>
    <w:rsid w:val="004C1867"/>
    <w:rsid w:val="004C3B5F"/>
    <w:rsid w:val="004D40C9"/>
    <w:rsid w:val="004E0E80"/>
    <w:rsid w:val="004E29A8"/>
    <w:rsid w:val="004F23B9"/>
    <w:rsid w:val="00520107"/>
    <w:rsid w:val="00527E78"/>
    <w:rsid w:val="00533A0A"/>
    <w:rsid w:val="00534853"/>
    <w:rsid w:val="00534885"/>
    <w:rsid w:val="0055270C"/>
    <w:rsid w:val="00555C2C"/>
    <w:rsid w:val="00576A4B"/>
    <w:rsid w:val="005B5A97"/>
    <w:rsid w:val="005B7D3E"/>
    <w:rsid w:val="005C42CC"/>
    <w:rsid w:val="005C4DAC"/>
    <w:rsid w:val="005D39A7"/>
    <w:rsid w:val="005F2F77"/>
    <w:rsid w:val="005F3C05"/>
    <w:rsid w:val="0062432B"/>
    <w:rsid w:val="006442CB"/>
    <w:rsid w:val="006449B3"/>
    <w:rsid w:val="00647565"/>
    <w:rsid w:val="00650333"/>
    <w:rsid w:val="00650B03"/>
    <w:rsid w:val="00652BA0"/>
    <w:rsid w:val="00661E30"/>
    <w:rsid w:val="00662DC9"/>
    <w:rsid w:val="00664516"/>
    <w:rsid w:val="0067145E"/>
    <w:rsid w:val="006731C0"/>
    <w:rsid w:val="00673A73"/>
    <w:rsid w:val="00675A8A"/>
    <w:rsid w:val="00676CB1"/>
    <w:rsid w:val="00676CBA"/>
    <w:rsid w:val="0067734C"/>
    <w:rsid w:val="00684564"/>
    <w:rsid w:val="006868C4"/>
    <w:rsid w:val="00695CA7"/>
    <w:rsid w:val="006A15C0"/>
    <w:rsid w:val="006B3DBD"/>
    <w:rsid w:val="006C4BD0"/>
    <w:rsid w:val="006C58EC"/>
    <w:rsid w:val="006D1692"/>
    <w:rsid w:val="006D558E"/>
    <w:rsid w:val="006D7EC9"/>
    <w:rsid w:val="006E7E09"/>
    <w:rsid w:val="007103E9"/>
    <w:rsid w:val="007242A5"/>
    <w:rsid w:val="00734C30"/>
    <w:rsid w:val="00736499"/>
    <w:rsid w:val="00753FAB"/>
    <w:rsid w:val="007674B4"/>
    <w:rsid w:val="007755BF"/>
    <w:rsid w:val="0079554E"/>
    <w:rsid w:val="007979C6"/>
    <w:rsid w:val="007A0709"/>
    <w:rsid w:val="007B0944"/>
    <w:rsid w:val="007B3B82"/>
    <w:rsid w:val="007C5FD0"/>
    <w:rsid w:val="007E2EA8"/>
    <w:rsid w:val="007E316E"/>
    <w:rsid w:val="007E58BC"/>
    <w:rsid w:val="007F0E12"/>
    <w:rsid w:val="007F54D7"/>
    <w:rsid w:val="00800BB6"/>
    <w:rsid w:val="00846259"/>
    <w:rsid w:val="008462A7"/>
    <w:rsid w:val="0085269F"/>
    <w:rsid w:val="00852EB8"/>
    <w:rsid w:val="00856FB7"/>
    <w:rsid w:val="00857013"/>
    <w:rsid w:val="00896BF8"/>
    <w:rsid w:val="008B76C9"/>
    <w:rsid w:val="008C38F7"/>
    <w:rsid w:val="008D4922"/>
    <w:rsid w:val="008D76C2"/>
    <w:rsid w:val="008D77AB"/>
    <w:rsid w:val="008E078A"/>
    <w:rsid w:val="008E7ABB"/>
    <w:rsid w:val="0091770E"/>
    <w:rsid w:val="00921BA5"/>
    <w:rsid w:val="009305E2"/>
    <w:rsid w:val="009358F2"/>
    <w:rsid w:val="009360C6"/>
    <w:rsid w:val="00954098"/>
    <w:rsid w:val="00965037"/>
    <w:rsid w:val="009670D2"/>
    <w:rsid w:val="00970780"/>
    <w:rsid w:val="0097161F"/>
    <w:rsid w:val="00973394"/>
    <w:rsid w:val="00974294"/>
    <w:rsid w:val="00976485"/>
    <w:rsid w:val="0098387E"/>
    <w:rsid w:val="00984D8D"/>
    <w:rsid w:val="00992F33"/>
    <w:rsid w:val="009B3CA0"/>
    <w:rsid w:val="009C57BB"/>
    <w:rsid w:val="009F284B"/>
    <w:rsid w:val="00A02D5C"/>
    <w:rsid w:val="00A140F5"/>
    <w:rsid w:val="00A16D4A"/>
    <w:rsid w:val="00A171BA"/>
    <w:rsid w:val="00A17A06"/>
    <w:rsid w:val="00A17AB4"/>
    <w:rsid w:val="00A24E16"/>
    <w:rsid w:val="00A26868"/>
    <w:rsid w:val="00A37C3A"/>
    <w:rsid w:val="00A56143"/>
    <w:rsid w:val="00A7207A"/>
    <w:rsid w:val="00A7780A"/>
    <w:rsid w:val="00A77E32"/>
    <w:rsid w:val="00A814A6"/>
    <w:rsid w:val="00A96FAE"/>
    <w:rsid w:val="00AA3E27"/>
    <w:rsid w:val="00AB7496"/>
    <w:rsid w:val="00AE5181"/>
    <w:rsid w:val="00AF3264"/>
    <w:rsid w:val="00B05E57"/>
    <w:rsid w:val="00B551CE"/>
    <w:rsid w:val="00B5799F"/>
    <w:rsid w:val="00B7279E"/>
    <w:rsid w:val="00B76FA9"/>
    <w:rsid w:val="00B80EB5"/>
    <w:rsid w:val="00B9034A"/>
    <w:rsid w:val="00BA0F3B"/>
    <w:rsid w:val="00BA480B"/>
    <w:rsid w:val="00BB1545"/>
    <w:rsid w:val="00BB4005"/>
    <w:rsid w:val="00BC1F1A"/>
    <w:rsid w:val="00BC57AA"/>
    <w:rsid w:val="00BD35DB"/>
    <w:rsid w:val="00BD5425"/>
    <w:rsid w:val="00BE3F06"/>
    <w:rsid w:val="00BF1C1B"/>
    <w:rsid w:val="00BF4E87"/>
    <w:rsid w:val="00C029F4"/>
    <w:rsid w:val="00C1097D"/>
    <w:rsid w:val="00C22CB5"/>
    <w:rsid w:val="00C31123"/>
    <w:rsid w:val="00C434E7"/>
    <w:rsid w:val="00C451F4"/>
    <w:rsid w:val="00C455F8"/>
    <w:rsid w:val="00C52D8D"/>
    <w:rsid w:val="00C80F8B"/>
    <w:rsid w:val="00C84C0D"/>
    <w:rsid w:val="00CA2F4A"/>
    <w:rsid w:val="00CA6104"/>
    <w:rsid w:val="00CB2EC3"/>
    <w:rsid w:val="00CE3ECA"/>
    <w:rsid w:val="00CE6D4F"/>
    <w:rsid w:val="00CF2AC0"/>
    <w:rsid w:val="00D27CAE"/>
    <w:rsid w:val="00D5301C"/>
    <w:rsid w:val="00D5763E"/>
    <w:rsid w:val="00D62ACA"/>
    <w:rsid w:val="00D65DBF"/>
    <w:rsid w:val="00D66F6D"/>
    <w:rsid w:val="00D72438"/>
    <w:rsid w:val="00D74028"/>
    <w:rsid w:val="00D871EC"/>
    <w:rsid w:val="00DA1C04"/>
    <w:rsid w:val="00DB6F0D"/>
    <w:rsid w:val="00DC168A"/>
    <w:rsid w:val="00DC7683"/>
    <w:rsid w:val="00DD284F"/>
    <w:rsid w:val="00DE2740"/>
    <w:rsid w:val="00DE73EE"/>
    <w:rsid w:val="00E2422E"/>
    <w:rsid w:val="00E27D59"/>
    <w:rsid w:val="00E32DDD"/>
    <w:rsid w:val="00E40A31"/>
    <w:rsid w:val="00E4267D"/>
    <w:rsid w:val="00E62BAE"/>
    <w:rsid w:val="00E67FF6"/>
    <w:rsid w:val="00E71204"/>
    <w:rsid w:val="00E729A0"/>
    <w:rsid w:val="00E86947"/>
    <w:rsid w:val="00ED0162"/>
    <w:rsid w:val="00EE40D6"/>
    <w:rsid w:val="00EF7DBE"/>
    <w:rsid w:val="00F04D21"/>
    <w:rsid w:val="00F118FE"/>
    <w:rsid w:val="00F15FD8"/>
    <w:rsid w:val="00F23E99"/>
    <w:rsid w:val="00F344FA"/>
    <w:rsid w:val="00F43871"/>
    <w:rsid w:val="00F44114"/>
    <w:rsid w:val="00F443AD"/>
    <w:rsid w:val="00F55083"/>
    <w:rsid w:val="00F57D1A"/>
    <w:rsid w:val="00F60DE9"/>
    <w:rsid w:val="00F64085"/>
    <w:rsid w:val="00F64F77"/>
    <w:rsid w:val="00F84E4F"/>
    <w:rsid w:val="00F94D7C"/>
    <w:rsid w:val="00FA65E0"/>
    <w:rsid w:val="00FB2567"/>
    <w:rsid w:val="00FC047F"/>
    <w:rsid w:val="00FD0401"/>
    <w:rsid w:val="00FD13BE"/>
    <w:rsid w:val="00FE56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440131F7"/>
  <w15:chartTrackingRefBased/>
  <w15:docId w15:val="{8A0C562F-90FD-497F-B840-4A70CB92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3.xml><?xml version="1.0" encoding="utf-8"?>
<ds:datastoreItem xmlns:ds="http://schemas.openxmlformats.org/officeDocument/2006/customXml" ds:itemID="{D1ADAEB3-0CF4-4EDB-BE73-3D26330337BB}">
  <ds:schemaRefs>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843F0510-7A1D-46E1-999C-FA67F04E5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691</Words>
  <Characters>3943</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Slavomír Gajarský</dc:creator>
  <cp:keywords/>
  <dc:description/>
  <cp:lastModifiedBy>Zuzana Hušeková</cp:lastModifiedBy>
  <cp:revision>21</cp:revision>
  <cp:lastPrinted>2016-08-24T11:32:00Z</cp:lastPrinted>
  <dcterms:created xsi:type="dcterms:W3CDTF">2017-05-22T08:58:00Z</dcterms:created>
  <dcterms:modified xsi:type="dcterms:W3CDTF">2017-06-08T13:00:00Z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