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DB726" w14:textId="78BB7BDB" w:rsidR="00AA09DF" w:rsidRPr="00C1434A" w:rsidRDefault="00AA09DF" w:rsidP="00AA09DF">
      <w:pPr>
        <w:pStyle w:val="Hlavika"/>
        <w:rPr>
          <w:rFonts w:ascii="Times New Roman" w:hAnsi="Times New Roman" w:cs="Times New Roman"/>
          <w:b/>
        </w:rPr>
      </w:pPr>
      <w:bookmarkStart w:id="0" w:name="_GoBack"/>
      <w:bookmarkEnd w:id="0"/>
    </w:p>
    <w:tbl>
      <w:tblPr>
        <w:tblpPr w:leftFromText="141" w:rightFromText="141" w:tblpY="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691"/>
        <w:gridCol w:w="1577"/>
        <w:gridCol w:w="3827"/>
        <w:gridCol w:w="1134"/>
        <w:gridCol w:w="1701"/>
        <w:gridCol w:w="1276"/>
        <w:gridCol w:w="2482"/>
      </w:tblGrid>
      <w:tr w:rsidR="00AA09DF" w:rsidRPr="00C1434A" w14:paraId="563DB728" w14:textId="77777777" w:rsidTr="00AE05B0">
        <w:trPr>
          <w:trHeight w:val="369"/>
        </w:trPr>
        <w:tc>
          <w:tcPr>
            <w:tcW w:w="13962" w:type="dxa"/>
            <w:gridSpan w:val="8"/>
          </w:tcPr>
          <w:p w14:paraId="563DB727"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Zoznam merateľných ukazovateľov</w:t>
            </w:r>
          </w:p>
        </w:tc>
      </w:tr>
      <w:tr w:rsidR="00AA09DF" w:rsidRPr="00C1434A" w14:paraId="563DB72B" w14:textId="77777777" w:rsidTr="00AE05B0">
        <w:trPr>
          <w:trHeight w:val="404"/>
        </w:trPr>
        <w:tc>
          <w:tcPr>
            <w:tcW w:w="1965" w:type="dxa"/>
            <w:gridSpan w:val="2"/>
          </w:tcPr>
          <w:p w14:paraId="563DB729"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 xml:space="preserve">Operačný program </w:t>
            </w:r>
          </w:p>
        </w:tc>
        <w:tc>
          <w:tcPr>
            <w:tcW w:w="11997" w:type="dxa"/>
            <w:gridSpan w:val="6"/>
          </w:tcPr>
          <w:p w14:paraId="563DB72A"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Efektívna verejná správa</w:t>
            </w:r>
          </w:p>
        </w:tc>
      </w:tr>
      <w:tr w:rsidR="00AA09DF" w:rsidRPr="00C1434A" w14:paraId="563DB72E" w14:textId="77777777" w:rsidTr="00AE05B0">
        <w:trPr>
          <w:trHeight w:val="311"/>
        </w:trPr>
        <w:tc>
          <w:tcPr>
            <w:tcW w:w="1965" w:type="dxa"/>
            <w:gridSpan w:val="2"/>
          </w:tcPr>
          <w:p w14:paraId="563DB72C"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Prioritná os</w:t>
            </w:r>
          </w:p>
        </w:tc>
        <w:tc>
          <w:tcPr>
            <w:tcW w:w="11997" w:type="dxa"/>
            <w:gridSpan w:val="6"/>
          </w:tcPr>
          <w:p w14:paraId="563DB72D"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3 Technická pomoc</w:t>
            </w:r>
          </w:p>
        </w:tc>
      </w:tr>
      <w:tr w:rsidR="00AA09DF" w:rsidRPr="00C1434A" w14:paraId="563DB731" w14:textId="77777777" w:rsidTr="00AE05B0">
        <w:trPr>
          <w:trHeight w:val="569"/>
        </w:trPr>
        <w:tc>
          <w:tcPr>
            <w:tcW w:w="1965" w:type="dxa"/>
            <w:gridSpan w:val="2"/>
          </w:tcPr>
          <w:p w14:paraId="563DB72F"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Špecifický cieľ</w:t>
            </w:r>
          </w:p>
        </w:tc>
        <w:tc>
          <w:tcPr>
            <w:tcW w:w="11997" w:type="dxa"/>
            <w:gridSpan w:val="6"/>
          </w:tcPr>
          <w:p w14:paraId="563DB730"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3.1 Podpora efektívnej implementácie OP</w:t>
            </w:r>
          </w:p>
        </w:tc>
      </w:tr>
      <w:tr w:rsidR="00AA09DF" w:rsidRPr="00C1434A" w14:paraId="563DB734" w14:textId="77777777" w:rsidTr="00AE05B0">
        <w:trPr>
          <w:trHeight w:val="691"/>
        </w:trPr>
        <w:tc>
          <w:tcPr>
            <w:tcW w:w="1965" w:type="dxa"/>
            <w:gridSpan w:val="2"/>
          </w:tcPr>
          <w:p w14:paraId="563DB732" w14:textId="606A624F" w:rsidR="00AA09DF" w:rsidRPr="00C1434A" w:rsidRDefault="006C682A" w:rsidP="00660BE3">
            <w:pPr>
              <w:rPr>
                <w:rFonts w:ascii="Times New Roman" w:hAnsi="Times New Roman" w:cs="Times New Roman"/>
              </w:rPr>
            </w:pPr>
            <w:r>
              <w:rPr>
                <w:rFonts w:ascii="Times New Roman" w:hAnsi="Times New Roman" w:cs="Times New Roman"/>
              </w:rPr>
              <w:t>Typ aktivity</w:t>
            </w:r>
          </w:p>
        </w:tc>
        <w:tc>
          <w:tcPr>
            <w:tcW w:w="11997" w:type="dxa"/>
            <w:gridSpan w:val="6"/>
          </w:tcPr>
          <w:p w14:paraId="563DB733" w14:textId="59FDA421" w:rsidR="00AA09DF" w:rsidRPr="00C1434A" w:rsidRDefault="00AA09DF" w:rsidP="00C22728">
            <w:pPr>
              <w:pStyle w:val="Default"/>
              <w:spacing w:after="120"/>
              <w:rPr>
                <w:sz w:val="22"/>
                <w:szCs w:val="22"/>
              </w:rPr>
            </w:pPr>
            <w:r w:rsidRPr="00C1434A">
              <w:rPr>
                <w:color w:val="auto"/>
                <w:sz w:val="22"/>
                <w:szCs w:val="22"/>
                <w:lang w:eastAsia="sk-SK"/>
              </w:rPr>
              <w:t>Zavedenie a</w:t>
            </w:r>
            <w:r w:rsidR="00C22728">
              <w:rPr>
                <w:color w:val="auto"/>
                <w:sz w:val="22"/>
                <w:szCs w:val="22"/>
                <w:lang w:eastAsia="sk-SK"/>
              </w:rPr>
              <w:t xml:space="preserve"> vykonávanie </w:t>
            </w:r>
            <w:r w:rsidRPr="00C1434A">
              <w:rPr>
                <w:color w:val="auto"/>
                <w:sz w:val="22"/>
                <w:szCs w:val="22"/>
                <w:lang w:eastAsia="sk-SK"/>
              </w:rPr>
              <w:t>spravodlivého a motivačného s</w:t>
            </w:r>
            <w:r w:rsidR="00760312">
              <w:rPr>
                <w:color w:val="auto"/>
                <w:sz w:val="22"/>
                <w:szCs w:val="22"/>
                <w:lang w:eastAsia="sk-SK"/>
              </w:rPr>
              <w:t>ystému odmeňovania zamestnancov</w:t>
            </w:r>
          </w:p>
        </w:tc>
      </w:tr>
      <w:tr w:rsidR="00AE05B0" w:rsidRPr="00C1434A" w14:paraId="563DB73C" w14:textId="77777777" w:rsidTr="00AE05B0">
        <w:trPr>
          <w:trHeight w:val="688"/>
        </w:trPr>
        <w:tc>
          <w:tcPr>
            <w:tcW w:w="1274" w:type="dxa"/>
          </w:tcPr>
          <w:p w14:paraId="563DB735"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Kód ukazovateľa</w:t>
            </w:r>
          </w:p>
        </w:tc>
        <w:tc>
          <w:tcPr>
            <w:tcW w:w="2268" w:type="dxa"/>
            <w:gridSpan w:val="2"/>
          </w:tcPr>
          <w:p w14:paraId="563DB736"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Názov ukazovateľa</w:t>
            </w:r>
          </w:p>
        </w:tc>
        <w:tc>
          <w:tcPr>
            <w:tcW w:w="3827" w:type="dxa"/>
          </w:tcPr>
          <w:p w14:paraId="563DB737"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Definícia/metóda výpočtu</w:t>
            </w:r>
          </w:p>
        </w:tc>
        <w:tc>
          <w:tcPr>
            <w:tcW w:w="1134" w:type="dxa"/>
          </w:tcPr>
          <w:p w14:paraId="563DB738"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Merná jednotka</w:t>
            </w:r>
          </w:p>
        </w:tc>
        <w:tc>
          <w:tcPr>
            <w:tcW w:w="1701" w:type="dxa"/>
          </w:tcPr>
          <w:p w14:paraId="563DB739"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Čas plnenia</w:t>
            </w:r>
          </w:p>
        </w:tc>
        <w:tc>
          <w:tcPr>
            <w:tcW w:w="1276" w:type="dxa"/>
          </w:tcPr>
          <w:p w14:paraId="563DB73A"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Príznak rizika</w:t>
            </w:r>
          </w:p>
        </w:tc>
        <w:tc>
          <w:tcPr>
            <w:tcW w:w="2482" w:type="dxa"/>
          </w:tcPr>
          <w:p w14:paraId="563DB73B"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Relevancia k HP</w:t>
            </w:r>
          </w:p>
        </w:tc>
      </w:tr>
      <w:tr w:rsidR="00AA09DF" w:rsidRPr="00C1434A" w14:paraId="563DB747" w14:textId="77777777" w:rsidTr="00AE05B0">
        <w:trPr>
          <w:trHeight w:val="2143"/>
        </w:trPr>
        <w:tc>
          <w:tcPr>
            <w:tcW w:w="1274" w:type="dxa"/>
          </w:tcPr>
          <w:p w14:paraId="563DB73D" w14:textId="77777777" w:rsidR="00AA09DF" w:rsidRPr="00C1434A" w:rsidRDefault="00AA09DF" w:rsidP="00660BE3">
            <w:pPr>
              <w:ind w:left="-214" w:firstLine="214"/>
              <w:rPr>
                <w:rFonts w:ascii="Times New Roman" w:hAnsi="Times New Roman" w:cs="Times New Roman"/>
              </w:rPr>
            </w:pPr>
            <w:r w:rsidRPr="00C1434A">
              <w:rPr>
                <w:rFonts w:ascii="Times New Roman" w:hAnsi="Times New Roman" w:cs="Times New Roman"/>
              </w:rPr>
              <w:t>P0129</w:t>
            </w:r>
          </w:p>
        </w:tc>
        <w:tc>
          <w:tcPr>
            <w:tcW w:w="2268" w:type="dxa"/>
            <w:gridSpan w:val="2"/>
          </w:tcPr>
          <w:p w14:paraId="563DB73E"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Počet administratívnych kapacít financovaných z technickej pomoci</w:t>
            </w:r>
          </w:p>
        </w:tc>
        <w:tc>
          <w:tcPr>
            <w:tcW w:w="3827" w:type="dxa"/>
          </w:tcPr>
          <w:p w14:paraId="563DB73F" w14:textId="77777777" w:rsidR="00361DDF" w:rsidRPr="00361DDF" w:rsidRDefault="00361DDF" w:rsidP="00361DDF">
            <w:pPr>
              <w:rPr>
                <w:rFonts w:ascii="Times New Roman" w:hAnsi="Times New Roman" w:cs="Times New Roman"/>
              </w:rPr>
            </w:pPr>
            <w:r w:rsidRPr="00361DDF">
              <w:rPr>
                <w:rFonts w:ascii="Times New Roman" w:hAnsi="Times New Roman" w:cs="Times New Roman"/>
              </w:rPr>
              <w:t xml:space="preserve">Vyjadruje počet administratívnych kapacít, ktorých mzdové náklady sú  financované z technickej pomoci OP vo FTE, (do počtu pracovníkov sú zarátaní AK EŠIF a zamestnanci vykonávajúci podporné činnosti, nezarátavajú sa zamestnanci mimopracovného pomeru). </w:t>
            </w:r>
          </w:p>
          <w:p w14:paraId="563DB740" w14:textId="77777777" w:rsidR="00361DDF" w:rsidRPr="00361DDF" w:rsidRDefault="00361DDF" w:rsidP="00361DDF">
            <w:pPr>
              <w:rPr>
                <w:rFonts w:ascii="Times New Roman" w:hAnsi="Times New Roman" w:cs="Times New Roman"/>
              </w:rPr>
            </w:pPr>
            <w:r w:rsidRPr="00361DDF">
              <w:rPr>
                <w:rFonts w:ascii="Times New Roman" w:hAnsi="Times New Roman" w:cs="Times New Roman"/>
              </w:rPr>
              <w:t>Spôsob výpočtu ročnej a kumulatívnej hodnoty merateľného ukazovateľa:</w:t>
            </w:r>
          </w:p>
          <w:p w14:paraId="563DB741" w14:textId="77777777" w:rsidR="00AA09DF" w:rsidRPr="00C1434A" w:rsidRDefault="00361DDF" w:rsidP="00361DDF">
            <w:pPr>
              <w:rPr>
                <w:rFonts w:ascii="Times New Roman" w:hAnsi="Times New Roman" w:cs="Times New Roman"/>
              </w:rPr>
            </w:pPr>
            <w:r w:rsidRPr="00361DDF">
              <w:rPr>
                <w:rFonts w:ascii="Times New Roman" w:hAnsi="Times New Roman" w:cs="Times New Roman"/>
              </w:rPr>
              <w:t xml:space="preserve">Ročná hodnota merateľného ukazovateľa sa vypočíta ako súčet jednotlivých zamestnancov prepočítaných na FTE za sledované obdobie so zohľadnením </w:t>
            </w:r>
            <w:r w:rsidRPr="00361DDF">
              <w:rPr>
                <w:rFonts w:ascii="Times New Roman" w:hAnsi="Times New Roman" w:cs="Times New Roman"/>
              </w:rPr>
              <w:lastRenderedPageBreak/>
              <w:t xml:space="preserve">úväzku, miery refundácie a obsadenosti pracovného miesta za sledované obdobie, </w:t>
            </w:r>
            <w:r w:rsidRPr="00A4790E">
              <w:rPr>
                <w:rFonts w:ascii="Times New Roman" w:hAnsi="Times New Roman" w:cs="Times New Roman"/>
              </w:rPr>
              <w:t>osobitne v členení na kategóriu muži, ženy a spolu</w:t>
            </w:r>
            <w:r w:rsidRPr="00361DDF">
              <w:rPr>
                <w:rFonts w:ascii="Times New Roman" w:hAnsi="Times New Roman" w:cs="Times New Roman"/>
              </w:rPr>
              <w:t>. Ročná hodnota merateľného ukazovateľa, ktorá je podkladom pre výpočet jeho kumulatívnej hodnoty, je zaokrúhlená matematicky na dve desatinné miesta. Kumulatívna hodnota sa vyčísli ako aritmetický priemer všetkých predchádzajúcich ročných hodnôt merateľného ukazovateľa v rámci daného projektu</w:t>
            </w:r>
            <w:r w:rsidRPr="00232438">
              <w:rPr>
                <w:rFonts w:ascii="Times New Roman" w:hAnsi="Times New Roman" w:cs="Times New Roman"/>
              </w:rPr>
              <w:t>, osobitne v členení na kategóriu muži, ženy a spolu a je zaokrúhlená matematicky na dve desatinné miesta.</w:t>
            </w:r>
            <w:r w:rsidRPr="00361DDF">
              <w:rPr>
                <w:rFonts w:ascii="Times New Roman" w:hAnsi="Times New Roman" w:cs="Times New Roman"/>
              </w:rPr>
              <w:t xml:space="preserve"> Cieľová hodnota merateľného ukazovateľa  je splnená, ak aspoň jedna skutočná ročná hodnota sa rovná alebo je vyššia ako stanovená cieľová hodnota na úrovni projektu.</w:t>
            </w:r>
          </w:p>
        </w:tc>
        <w:tc>
          <w:tcPr>
            <w:tcW w:w="1134" w:type="dxa"/>
          </w:tcPr>
          <w:p w14:paraId="563DB742" w14:textId="40B92C17" w:rsidR="00AA09DF" w:rsidRPr="00C1434A" w:rsidRDefault="00BC69A1" w:rsidP="00660BE3">
            <w:pPr>
              <w:jc w:val="both"/>
              <w:rPr>
                <w:rFonts w:ascii="Times New Roman" w:hAnsi="Times New Roman" w:cs="Times New Roman"/>
              </w:rPr>
            </w:pPr>
            <w:r>
              <w:rPr>
                <w:rFonts w:ascii="Times New Roman" w:hAnsi="Times New Roman" w:cs="Times New Roman"/>
              </w:rPr>
              <w:lastRenderedPageBreak/>
              <w:t>FTE</w:t>
            </w:r>
            <w:r w:rsidR="00AA09DF" w:rsidRPr="00C1434A">
              <w:rPr>
                <w:rFonts w:ascii="Times New Roman" w:hAnsi="Times New Roman" w:cs="Times New Roman"/>
              </w:rPr>
              <w:t xml:space="preserve"> </w:t>
            </w:r>
          </w:p>
        </w:tc>
        <w:tc>
          <w:tcPr>
            <w:tcW w:w="1701" w:type="dxa"/>
          </w:tcPr>
          <w:p w14:paraId="563DB743"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 xml:space="preserve">K dátumu ukončenia realizácie hlavných aktivít projektu </w:t>
            </w:r>
          </w:p>
        </w:tc>
        <w:tc>
          <w:tcPr>
            <w:tcW w:w="1276" w:type="dxa"/>
          </w:tcPr>
          <w:p w14:paraId="563DB744" w14:textId="77777777" w:rsidR="00AA09DF" w:rsidRPr="00C1434A" w:rsidRDefault="00AA09DF" w:rsidP="00660BE3">
            <w:pPr>
              <w:rPr>
                <w:rFonts w:ascii="Times New Roman" w:hAnsi="Times New Roman" w:cs="Times New Roman"/>
              </w:rPr>
            </w:pPr>
            <w:r w:rsidRPr="00C1434A">
              <w:rPr>
                <w:rFonts w:ascii="Times New Roman" w:hAnsi="Times New Roman" w:cs="Times New Roman"/>
              </w:rPr>
              <w:t xml:space="preserve">Bez príznaku </w:t>
            </w:r>
          </w:p>
        </w:tc>
        <w:tc>
          <w:tcPr>
            <w:tcW w:w="2482" w:type="dxa"/>
          </w:tcPr>
          <w:p w14:paraId="563DB745" w14:textId="77777777" w:rsidR="00EA41F0" w:rsidRPr="00C1434A" w:rsidRDefault="00EA41F0" w:rsidP="00EA41F0">
            <w:pPr>
              <w:pStyle w:val="Odsekzoznamu"/>
              <w:numPr>
                <w:ilvl w:val="0"/>
                <w:numId w:val="2"/>
              </w:numPr>
              <w:rPr>
                <w:rFonts w:ascii="Times New Roman" w:hAnsi="Times New Roman" w:cs="Times New Roman"/>
              </w:rPr>
            </w:pPr>
            <w:r w:rsidRPr="00C1434A">
              <w:rPr>
                <w:rFonts w:ascii="Times New Roman" w:hAnsi="Times New Roman" w:cs="Times New Roman"/>
              </w:rPr>
              <w:t xml:space="preserve">Podpora rovnosti mužov a žien  </w:t>
            </w:r>
          </w:p>
          <w:p w14:paraId="563DB746" w14:textId="77777777" w:rsidR="00AA09DF" w:rsidRPr="00C1434A" w:rsidRDefault="00EA41F0" w:rsidP="00EA41F0">
            <w:pPr>
              <w:pStyle w:val="Odsekzoznamu"/>
              <w:numPr>
                <w:ilvl w:val="0"/>
                <w:numId w:val="2"/>
              </w:numPr>
              <w:rPr>
                <w:rFonts w:ascii="Times New Roman" w:hAnsi="Times New Roman" w:cs="Times New Roman"/>
              </w:rPr>
            </w:pPr>
            <w:r w:rsidRPr="00C1434A">
              <w:rPr>
                <w:rFonts w:ascii="Times New Roman" w:hAnsi="Times New Roman" w:cs="Times New Roman"/>
              </w:rPr>
              <w:t>Nediskriminácia</w:t>
            </w:r>
          </w:p>
        </w:tc>
      </w:tr>
    </w:tbl>
    <w:p w14:paraId="563DB748"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563DB749" w14:textId="3A94D38B" w:rsidR="003367F2" w:rsidRPr="00C1434A" w:rsidRDefault="005060A2" w:rsidP="005060A2">
      <w:pPr>
        <w:autoSpaceDE w:val="0"/>
        <w:autoSpaceDN w:val="0"/>
        <w:adjustRightInd w:val="0"/>
        <w:spacing w:after="0" w:line="240" w:lineRule="auto"/>
        <w:rPr>
          <w:sz w:val="18"/>
          <w:szCs w:val="18"/>
        </w:rPr>
      </w:pPr>
      <w:r w:rsidRPr="005060A2">
        <w:rPr>
          <w:rFonts w:ascii="Times New Roman" w:hAnsi="Times New Roman" w:cs="Times New Roman"/>
          <w:b/>
          <w:bCs/>
          <w:color w:val="000000"/>
          <w:sz w:val="23"/>
          <w:szCs w:val="23"/>
        </w:rPr>
        <w:t xml:space="preserve">Poznámka: </w:t>
      </w:r>
      <w:r w:rsidR="00481F83" w:rsidRPr="00C1434A">
        <w:rPr>
          <w:rFonts w:ascii="Times New Roman" w:hAnsi="Times New Roman" w:cs="Times New Roman"/>
          <w:color w:val="000000"/>
        </w:rPr>
        <w:t>Ž</w:t>
      </w:r>
      <w:r w:rsidRPr="00C1434A">
        <w:rPr>
          <w:rFonts w:ascii="Times New Roman" w:hAnsi="Times New Roman" w:cs="Times New Roman"/>
          <w:color w:val="000000"/>
        </w:rPr>
        <w:t xml:space="preserve">iadateľ </w:t>
      </w:r>
      <w:r w:rsidR="00481F83" w:rsidRPr="00C1434A">
        <w:rPr>
          <w:rFonts w:ascii="Times New Roman" w:hAnsi="Times New Roman" w:cs="Times New Roman"/>
          <w:color w:val="000000"/>
        </w:rPr>
        <w:t xml:space="preserve">je </w:t>
      </w:r>
      <w:r w:rsidRPr="00C1434A">
        <w:rPr>
          <w:rFonts w:ascii="Times New Roman" w:hAnsi="Times New Roman" w:cs="Times New Roman"/>
          <w:color w:val="000000"/>
        </w:rPr>
        <w:t>povinný stanovi</w:t>
      </w:r>
      <w:r w:rsidR="00481F83" w:rsidRPr="00C1434A">
        <w:rPr>
          <w:rFonts w:ascii="Times New Roman" w:hAnsi="Times New Roman" w:cs="Times New Roman"/>
          <w:color w:val="000000"/>
        </w:rPr>
        <w:t xml:space="preserve">ť “nenulovú“ cieľovú hodnotu </w:t>
      </w:r>
      <w:r w:rsidRPr="00C1434A">
        <w:rPr>
          <w:rFonts w:ascii="Times New Roman" w:hAnsi="Times New Roman" w:cs="Times New Roman"/>
          <w:color w:val="000000"/>
        </w:rPr>
        <w:t xml:space="preserve"> merateľné</w:t>
      </w:r>
      <w:r w:rsidR="00481F83" w:rsidRPr="00C1434A">
        <w:rPr>
          <w:rFonts w:ascii="Times New Roman" w:hAnsi="Times New Roman" w:cs="Times New Roman"/>
          <w:color w:val="000000"/>
        </w:rPr>
        <w:t xml:space="preserve">ho </w:t>
      </w:r>
      <w:r w:rsidRPr="00C1434A">
        <w:rPr>
          <w:rFonts w:ascii="Times New Roman" w:hAnsi="Times New Roman" w:cs="Times New Roman"/>
          <w:color w:val="000000"/>
        </w:rPr>
        <w:t xml:space="preserve"> uka</w:t>
      </w:r>
      <w:r w:rsidR="00481F83" w:rsidRPr="00C1434A">
        <w:rPr>
          <w:rFonts w:ascii="Times New Roman" w:hAnsi="Times New Roman" w:cs="Times New Roman"/>
          <w:color w:val="000000"/>
        </w:rPr>
        <w:t>zovateľa projektu, ktorá</w:t>
      </w:r>
      <w:r w:rsidRPr="00C1434A">
        <w:rPr>
          <w:rFonts w:ascii="Times New Roman" w:hAnsi="Times New Roman" w:cs="Times New Roman"/>
          <w:color w:val="000000"/>
        </w:rPr>
        <w:t xml:space="preserve"> </w:t>
      </w:r>
      <w:r w:rsidR="00481F83" w:rsidRPr="00C1434A">
        <w:rPr>
          <w:rFonts w:ascii="Times New Roman" w:hAnsi="Times New Roman" w:cs="Times New Roman"/>
          <w:color w:val="000000"/>
        </w:rPr>
        <w:t>má</w:t>
      </w:r>
      <w:r w:rsidRPr="00C1434A">
        <w:rPr>
          <w:rFonts w:ascii="Times New Roman" w:hAnsi="Times New Roman" w:cs="Times New Roman"/>
          <w:color w:val="000000"/>
        </w:rPr>
        <w:t xml:space="preserve"> byť realizáciou</w:t>
      </w:r>
      <w:r w:rsidR="00481F83" w:rsidRPr="00C1434A">
        <w:rPr>
          <w:rFonts w:ascii="Times New Roman" w:hAnsi="Times New Roman" w:cs="Times New Roman"/>
          <w:color w:val="000000"/>
        </w:rPr>
        <w:t xml:space="preserve"> navrhovaných aktivít dosiahnutá.</w:t>
      </w:r>
      <w:r w:rsidR="00C1434A" w:rsidRPr="00C1434A">
        <w:rPr>
          <w:rFonts w:ascii="Times New Roman" w:hAnsi="Times New Roman" w:cs="Times New Roman"/>
          <w:color w:val="000000"/>
        </w:rPr>
        <w:t xml:space="preserve"> Cieľová hodnota za jednotlivé kategórie regiónov sa zadá tak, že sa celková plánovaná cieľová hodnota rozdelí na princípe  pomeru  ako sa prideľujú finančné výdavky projektu so zaokrúhlením na jedno desatinné miesto (</w:t>
      </w:r>
      <w:r w:rsidR="00EC75C9">
        <w:rPr>
          <w:rFonts w:ascii="Times New Roman" w:hAnsi="Times New Roman" w:cs="Times New Roman"/>
          <w:color w:val="000000"/>
        </w:rPr>
        <w:t xml:space="preserve">MRR/RR = </w:t>
      </w:r>
      <w:r w:rsidR="00C1434A" w:rsidRPr="00C1434A">
        <w:rPr>
          <w:rFonts w:ascii="Times New Roman" w:hAnsi="Times New Roman" w:cs="Times New Roman"/>
          <w:color w:val="000000"/>
        </w:rPr>
        <w:t>96,55/3,45).</w:t>
      </w:r>
    </w:p>
    <w:sectPr w:rsidR="003367F2" w:rsidRPr="00C1434A" w:rsidSect="00933198">
      <w:headerReference w:type="default" r:id="rId10"/>
      <w:headerReference w:type="first" r:id="rId11"/>
      <w:pgSz w:w="16838" w:h="11906" w:orient="landscape"/>
      <w:pgMar w:top="1985" w:right="1417" w:bottom="1276" w:left="1417" w:header="708" w:footer="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EAFCB" w14:textId="77777777" w:rsidR="00916677" w:rsidRDefault="00916677" w:rsidP="00BE3A1E">
      <w:pPr>
        <w:spacing w:after="0" w:line="240" w:lineRule="auto"/>
      </w:pPr>
      <w:r>
        <w:separator/>
      </w:r>
    </w:p>
  </w:endnote>
  <w:endnote w:type="continuationSeparator" w:id="0">
    <w:p w14:paraId="79F032B1" w14:textId="77777777" w:rsidR="00916677" w:rsidRDefault="00916677"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B169" w14:textId="77777777" w:rsidR="00916677" w:rsidRDefault="00916677" w:rsidP="00BE3A1E">
      <w:pPr>
        <w:spacing w:after="0" w:line="240" w:lineRule="auto"/>
      </w:pPr>
      <w:r>
        <w:separator/>
      </w:r>
    </w:p>
  </w:footnote>
  <w:footnote w:type="continuationSeparator" w:id="0">
    <w:p w14:paraId="030F6BDC" w14:textId="77777777" w:rsidR="00916677" w:rsidRDefault="00916677" w:rsidP="00BE3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60F03" w14:textId="759EFAD9" w:rsidR="00933198" w:rsidRDefault="00933198">
    <w:pPr>
      <w:pStyle w:val="Hlavika"/>
    </w:pPr>
  </w:p>
  <w:p w14:paraId="563DB74F" w14:textId="77777777" w:rsidR="00AA09DF" w:rsidRDefault="00AA09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540F0" w14:textId="144E009F" w:rsidR="00933198" w:rsidRDefault="00933198" w:rsidP="00933198">
    <w:pPr>
      <w:pStyle w:val="Hlavika"/>
      <w:jc w:val="right"/>
      <w:rPr>
        <w:rFonts w:ascii="Times New Roman" w:hAnsi="Times New Roman" w:cs="Times New Roman"/>
        <w:b/>
      </w:rPr>
    </w:pPr>
    <w:r>
      <w:rPr>
        <w:rFonts w:eastAsia="Times New Roman"/>
        <w:noProof/>
        <w:lang w:eastAsia="sk-SK"/>
      </w:rPr>
      <w:drawing>
        <wp:inline distT="0" distB="0" distL="0" distR="0" wp14:anchorId="0F7A8298" wp14:editId="69F0C8D9">
          <wp:extent cx="3013200" cy="536400"/>
          <wp:effectExtent l="0" t="0" r="0" b="0"/>
          <wp:docPr id="7" name="Obrázok 7"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55561F8C" w14:textId="77777777" w:rsidR="00933198" w:rsidRDefault="00933198" w:rsidP="00933198">
    <w:pPr>
      <w:pStyle w:val="Hlavika"/>
      <w:jc w:val="right"/>
      <w:rPr>
        <w:rFonts w:ascii="Times New Roman" w:hAnsi="Times New Roman" w:cs="Times New Roman"/>
        <w:b/>
      </w:rPr>
    </w:pPr>
  </w:p>
  <w:p w14:paraId="2C268840" w14:textId="1A001E02" w:rsidR="00933198" w:rsidRPr="001644EC" w:rsidRDefault="00933198" w:rsidP="00933198">
    <w:pPr>
      <w:pStyle w:val="Hlavika"/>
      <w:jc w:val="right"/>
    </w:pPr>
    <w:r w:rsidRPr="001644EC">
      <w:rPr>
        <w:rFonts w:ascii="Times New Roman" w:hAnsi="Times New Roman" w:cs="Times New Roman"/>
      </w:rPr>
      <w:t xml:space="preserve">Príloha </w:t>
    </w:r>
    <w:r w:rsidR="00E17A48">
      <w:rPr>
        <w:rFonts w:ascii="Times New Roman" w:hAnsi="Times New Roman" w:cs="Times New Roman"/>
      </w:rPr>
      <w:t>č. 3</w:t>
    </w:r>
    <w:r w:rsidR="001644EC" w:rsidRPr="001644EC">
      <w:rPr>
        <w:rFonts w:ascii="Times New Roman" w:hAnsi="Times New Roman" w:cs="Times New Roman"/>
      </w:rPr>
      <w:t xml:space="preserve"> k v</w:t>
    </w:r>
    <w:r w:rsidRPr="001644EC">
      <w:rPr>
        <w:rFonts w:ascii="Times New Roman" w:hAnsi="Times New Roman" w:cs="Times New Roman"/>
      </w:rPr>
      <w:t xml:space="preserve">yzvaniu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10DC2"/>
    <w:rsid w:val="000D1C7A"/>
    <w:rsid w:val="000D29FD"/>
    <w:rsid w:val="00115662"/>
    <w:rsid w:val="001644EC"/>
    <w:rsid w:val="00232438"/>
    <w:rsid w:val="002F1CF3"/>
    <w:rsid w:val="002F5FC9"/>
    <w:rsid w:val="00303685"/>
    <w:rsid w:val="00342733"/>
    <w:rsid w:val="00361DDF"/>
    <w:rsid w:val="003819B6"/>
    <w:rsid w:val="003E2A4E"/>
    <w:rsid w:val="00481F83"/>
    <w:rsid w:val="005060A2"/>
    <w:rsid w:val="00506CFA"/>
    <w:rsid w:val="005668C3"/>
    <w:rsid w:val="005C449A"/>
    <w:rsid w:val="00611079"/>
    <w:rsid w:val="006C682A"/>
    <w:rsid w:val="006E1D47"/>
    <w:rsid w:val="006E58FF"/>
    <w:rsid w:val="007235C2"/>
    <w:rsid w:val="00760312"/>
    <w:rsid w:val="007D08B0"/>
    <w:rsid w:val="007D4071"/>
    <w:rsid w:val="0085404F"/>
    <w:rsid w:val="008E2C27"/>
    <w:rsid w:val="00916677"/>
    <w:rsid w:val="00933198"/>
    <w:rsid w:val="009618DC"/>
    <w:rsid w:val="009D14AD"/>
    <w:rsid w:val="009D23B7"/>
    <w:rsid w:val="009E3292"/>
    <w:rsid w:val="00A204DE"/>
    <w:rsid w:val="00A4790E"/>
    <w:rsid w:val="00AA09DF"/>
    <w:rsid w:val="00AB6E9B"/>
    <w:rsid w:val="00AE05B0"/>
    <w:rsid w:val="00BC69A1"/>
    <w:rsid w:val="00BE3A1E"/>
    <w:rsid w:val="00C1434A"/>
    <w:rsid w:val="00C22728"/>
    <w:rsid w:val="00C31E88"/>
    <w:rsid w:val="00CA2572"/>
    <w:rsid w:val="00DB00CB"/>
    <w:rsid w:val="00DF7C42"/>
    <w:rsid w:val="00E17A48"/>
    <w:rsid w:val="00E9094E"/>
    <w:rsid w:val="00EA41F0"/>
    <w:rsid w:val="00EC75C9"/>
    <w:rsid w:val="00ED4579"/>
    <w:rsid w:val="00F322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3DB726"/>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6B358-E2B5-4B4F-A415-BDCD27C18C66}">
  <ds:schemaRefs>
    <ds:schemaRef ds:uri="http://purl.org/dc/terms/"/>
    <ds:schemaRef ds:uri="http://schemas.openxmlformats.org/package/2006/metadata/core-properties"/>
    <ds:schemaRef ds:uri="http://schemas.microsoft.com/office/2006/documentManagement/types"/>
    <ds:schemaRef ds:uri="df68beb4-40f4-4a69-a992-d7c992f59b2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9F29FF4-61B7-416B-A4AB-95908BE00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320</Words>
  <Characters>1824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Matovič</dc:creator>
  <cp:lastModifiedBy>Lenka Lamoš</cp:lastModifiedBy>
  <cp:revision>13</cp:revision>
  <cp:lastPrinted>2023-05-18T11:59:00Z</cp:lastPrinted>
  <dcterms:created xsi:type="dcterms:W3CDTF">2019-11-19T15:19:00Z</dcterms:created>
  <dcterms:modified xsi:type="dcterms:W3CDTF">2023-05-18T11:59:00Z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