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bookmarkStart w:id="0" w:name="_GoBack"/>
      <w:bookmarkEnd w:id="0"/>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79020A" w:rsidRDefault="00F84E4F" w:rsidP="00F84E4F">
      <w:pPr>
        <w:jc w:val="both"/>
        <w:rPr>
          <w:rFonts w:ascii="Times New Roman" w:hAnsi="Times New Roman" w:cs="Times New Roman"/>
          <w:b/>
          <w:sz w:val="24"/>
          <w:szCs w:val="24"/>
        </w:rPr>
      </w:pPr>
      <w:r w:rsidRPr="0079020A">
        <w:rPr>
          <w:rFonts w:ascii="Times New Roman" w:hAnsi="Times New Roman" w:cs="Times New Roman"/>
          <w:b/>
          <w:sz w:val="24"/>
          <w:szCs w:val="24"/>
        </w:rPr>
        <w:t xml:space="preserve">Oprávnené výdavky </w:t>
      </w:r>
      <w:r w:rsidR="002D2DBD" w:rsidRPr="0079020A">
        <w:rPr>
          <w:rFonts w:ascii="Times New Roman" w:hAnsi="Times New Roman" w:cs="Times New Roman"/>
          <w:b/>
          <w:sz w:val="24"/>
          <w:szCs w:val="24"/>
        </w:rPr>
        <w:t>nepriame</w:t>
      </w:r>
      <w:r w:rsidR="002D2DBD" w:rsidRPr="0079020A">
        <w:rPr>
          <w:rStyle w:val="Odkaznapoznmkupodiarou"/>
          <w:rFonts w:ascii="Times New Roman" w:hAnsi="Times New Roman" w:cs="Times New Roman"/>
          <w:b/>
          <w:sz w:val="24"/>
          <w:szCs w:val="24"/>
        </w:rPr>
        <w:footnoteReference w:id="2"/>
      </w:r>
      <w:r w:rsidR="002D2DBD" w:rsidRPr="0079020A">
        <w:rPr>
          <w:rFonts w:ascii="Times New Roman" w:hAnsi="Times New Roman" w:cs="Times New Roman"/>
          <w:b/>
          <w:sz w:val="24"/>
          <w:szCs w:val="24"/>
        </w:rPr>
        <w:t xml:space="preserve">  </w:t>
      </w:r>
      <w:r w:rsidRPr="0079020A">
        <w:rPr>
          <w:rFonts w:ascii="Times New Roman" w:hAnsi="Times New Roman" w:cs="Times New Roman"/>
          <w:b/>
          <w:sz w:val="24"/>
          <w:szCs w:val="24"/>
        </w:rPr>
        <w:t>pre žiadateľa:</w:t>
      </w:r>
    </w:p>
    <w:p w14:paraId="0F088E09" w14:textId="768DD344" w:rsidR="00245089" w:rsidRDefault="00245089" w:rsidP="0024508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sidR="00255FF5">
        <w:rPr>
          <w:rFonts w:ascii="Times New Roman" w:hAnsi="Times New Roman" w:cs="Times New Roman"/>
          <w:sz w:val="24"/>
          <w:szCs w:val="24"/>
        </w:rPr>
        <w:t>i pracovníci: projektový manažér</w:t>
      </w:r>
      <w:r w:rsidRPr="007755BF">
        <w:rPr>
          <w:rFonts w:ascii="Times New Roman" w:hAnsi="Times New Roman" w:cs="Times New Roman"/>
          <w:sz w:val="24"/>
          <w:szCs w:val="24"/>
        </w:rPr>
        <w:t>,</w:t>
      </w:r>
      <w:r w:rsidR="00255FF5">
        <w:rPr>
          <w:rFonts w:ascii="Times New Roman" w:hAnsi="Times New Roman" w:cs="Times New Roman"/>
          <w:sz w:val="24"/>
          <w:szCs w:val="24"/>
        </w:rPr>
        <w:t xml:space="preserve"> </w:t>
      </w:r>
      <w:r w:rsidRPr="007755BF">
        <w:rPr>
          <w:rFonts w:ascii="Times New Roman" w:hAnsi="Times New Roman" w:cs="Times New Roman"/>
          <w:sz w:val="24"/>
          <w:szCs w:val="24"/>
        </w:rPr>
        <w:t>finančný manažér,</w:t>
      </w:r>
      <w:r w:rsidR="00255FF5">
        <w:rPr>
          <w:rFonts w:ascii="Times New Roman" w:hAnsi="Times New Roman" w:cs="Times New Roman"/>
          <w:sz w:val="24"/>
          <w:szCs w:val="24"/>
        </w:rPr>
        <w:t xml:space="preserve"> manažér </w:t>
      </w:r>
      <w:r w:rsidR="006E39B2">
        <w:rPr>
          <w:rFonts w:ascii="Times New Roman" w:hAnsi="Times New Roman" w:cs="Times New Roman"/>
          <w:sz w:val="24"/>
          <w:szCs w:val="24"/>
        </w:rPr>
        <w:t xml:space="preserve">pre monitorovanie, pracovníci pre verejné obstarávanie </w:t>
      </w:r>
      <w:r w:rsidR="00255FF5">
        <w:rPr>
          <w:rFonts w:ascii="Times New Roman" w:hAnsi="Times New Roman" w:cs="Times New Roman"/>
          <w:sz w:val="24"/>
          <w:szCs w:val="24"/>
        </w:rPr>
        <w:t>a pod.,</w:t>
      </w:r>
      <w:r w:rsidRPr="007755BF">
        <w:rPr>
          <w:rFonts w:ascii="Times New Roman" w:hAnsi="Times New Roman" w:cs="Times New Roman"/>
          <w:sz w:val="24"/>
          <w:szCs w:val="24"/>
        </w:rPr>
        <w:t xml:space="preserve"> administratívni pracovníci: asistent</w:t>
      </w:r>
      <w:r w:rsidR="006E39B2">
        <w:rPr>
          <w:rFonts w:ascii="Times New Roman" w:hAnsi="Times New Roman" w:cs="Times New Roman"/>
          <w:sz w:val="24"/>
          <w:szCs w:val="24"/>
        </w:rPr>
        <w:t xml:space="preserve"> projektového manažéra, asistent finančného manažéra</w:t>
      </w:r>
      <w:r w:rsidRPr="007755BF">
        <w:rPr>
          <w:rFonts w:ascii="Times New Roman" w:hAnsi="Times New Roman" w:cs="Times New Roman"/>
          <w:sz w:val="24"/>
          <w:szCs w:val="24"/>
        </w:rPr>
        <w:t>, mzdový účtovník</w:t>
      </w:r>
      <w:r w:rsidR="006E39B2">
        <w:rPr>
          <w:rFonts w:ascii="Times New Roman" w:hAnsi="Times New Roman" w:cs="Times New Roman"/>
          <w:sz w:val="24"/>
          <w:szCs w:val="24"/>
        </w:rPr>
        <w:t>, ekonóm, IT administrátori</w:t>
      </w:r>
      <w:r>
        <w:rPr>
          <w:rFonts w:ascii="Times New Roman" w:hAnsi="Times New Roman" w:cs="Times New Roman"/>
          <w:sz w:val="24"/>
          <w:szCs w:val="24"/>
        </w:rPr>
        <w:t xml:space="preserve"> a pod.</w:t>
      </w:r>
      <w:r w:rsidRPr="007755BF">
        <w:rPr>
          <w:rFonts w:ascii="Times New Roman" w:hAnsi="Times New Roman" w:cs="Times New Roman"/>
          <w:sz w:val="24"/>
          <w:szCs w:val="24"/>
        </w:rPr>
        <w:t>)</w:t>
      </w:r>
      <w:r w:rsidRPr="007755BF">
        <w:rPr>
          <w:rStyle w:val="Odkaznapoznmkupodiarou"/>
          <w:rFonts w:ascii="Times New Roman" w:hAnsi="Times New Roman" w:cs="Times New Roman"/>
          <w:sz w:val="24"/>
          <w:szCs w:val="24"/>
        </w:rPr>
        <w:footnoteReference w:id="4"/>
      </w:r>
      <w:r w:rsidRPr="007755BF">
        <w:rPr>
          <w:rFonts w:ascii="Times New Roman" w:hAnsi="Times New Roman" w:cs="Times New Roman"/>
          <w:sz w:val="24"/>
          <w:szCs w:val="24"/>
        </w:rPr>
        <w:t>;</w:t>
      </w:r>
    </w:p>
    <w:p w14:paraId="13A48CFC" w14:textId="77777777" w:rsidR="00961B84" w:rsidRPr="00264F6F" w:rsidRDefault="00961B84" w:rsidP="00961B84">
      <w:pPr>
        <w:pStyle w:val="Odsekzoznamu"/>
        <w:numPr>
          <w:ilvl w:val="0"/>
          <w:numId w:val="3"/>
        </w:numPr>
        <w:jc w:val="both"/>
        <w:rPr>
          <w:rFonts w:ascii="Times New Roman" w:hAnsi="Times New Roman" w:cs="Times New Roman"/>
          <w:sz w:val="24"/>
          <w:szCs w:val="24"/>
        </w:rPr>
      </w:pPr>
      <w:r w:rsidRPr="00264F6F">
        <w:rPr>
          <w:rFonts w:ascii="Times New Roman" w:hAnsi="Times New Roman" w:cs="Times New Roman"/>
          <w:sz w:val="24"/>
          <w:szCs w:val="24"/>
        </w:rPr>
        <w:t>cestovné náhrady - tuzemské 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264F6F">
        <w:rPr>
          <w:rStyle w:val="Odkaznapoznmkupodiarou"/>
          <w:rFonts w:ascii="Times New Roman" w:hAnsi="Times New Roman" w:cs="Times New Roman"/>
          <w:sz w:val="24"/>
          <w:szCs w:val="24"/>
        </w:rPr>
        <w:footnoteReference w:id="5"/>
      </w:r>
      <w:r w:rsidRPr="00264F6F">
        <w:rPr>
          <w:rFonts w:ascii="Times New Roman" w:hAnsi="Times New Roman" w:cs="Times New Roman"/>
          <w:sz w:val="24"/>
          <w:szCs w:val="24"/>
        </w:rPr>
        <w:t>);</w:t>
      </w:r>
    </w:p>
    <w:p w14:paraId="20099705" w14:textId="757513FB" w:rsidR="00961B84" w:rsidRDefault="00961B84" w:rsidP="00245089">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pohonné hmoty;</w:t>
      </w:r>
    </w:p>
    <w:p w14:paraId="77BF0022" w14:textId="3F60A88C" w:rsidR="00961B84" w:rsidRPr="00961B84" w:rsidRDefault="00961B84" w:rsidP="00961B84">
      <w:pPr>
        <w:pStyle w:val="Odsekzoznamu"/>
        <w:numPr>
          <w:ilvl w:val="0"/>
          <w:numId w:val="3"/>
        </w:numPr>
        <w:jc w:val="both"/>
        <w:rPr>
          <w:rFonts w:ascii="Times New Roman" w:hAnsi="Times New Roman" w:cs="Times New Roman"/>
          <w:sz w:val="24"/>
          <w:szCs w:val="24"/>
        </w:rPr>
      </w:pPr>
      <w:r w:rsidRPr="00F64085">
        <w:rPr>
          <w:rFonts w:ascii="Times New Roman" w:hAnsi="Times New Roman" w:cs="Times New Roman"/>
          <w:sz w:val="24"/>
          <w:szCs w:val="24"/>
        </w:rPr>
        <w:t xml:space="preserve">výdavky na spotrebný tovar a prevádzkový materiál pre realizáciu odborných a podporných aktivít projektu (napr. kancelársky papier, </w:t>
      </w:r>
      <w:proofErr w:type="spellStart"/>
      <w:r w:rsidRPr="00F64085">
        <w:rPr>
          <w:rFonts w:ascii="Times New Roman" w:hAnsi="Times New Roman" w:cs="Times New Roman"/>
          <w:sz w:val="24"/>
          <w:szCs w:val="24"/>
        </w:rPr>
        <w:t>šanóny</w:t>
      </w:r>
      <w:proofErr w:type="spellEnd"/>
      <w:r w:rsidRPr="00F64085">
        <w:rPr>
          <w:rFonts w:ascii="Times New Roman" w:hAnsi="Times New Roman" w:cs="Times New Roman"/>
          <w:sz w:val="24"/>
          <w:szCs w:val="24"/>
        </w:rPr>
        <w:t>,</w:t>
      </w:r>
      <w:r>
        <w:rPr>
          <w:rFonts w:ascii="Times New Roman" w:hAnsi="Times New Roman" w:cs="Times New Roman"/>
          <w:sz w:val="24"/>
          <w:szCs w:val="24"/>
        </w:rPr>
        <w:t xml:space="preserve"> zápisníky,</w:t>
      </w:r>
      <w:r w:rsidRPr="00F64085">
        <w:rPr>
          <w:rFonts w:ascii="Times New Roman" w:hAnsi="Times New Roman" w:cs="Times New Roman"/>
          <w:sz w:val="24"/>
          <w:szCs w:val="24"/>
        </w:rPr>
        <w:t xml:space="preserve"> zakladače, kancelárske spinky, hrebene, písacie potreby, tonery, fóli</w:t>
      </w:r>
      <w:r>
        <w:rPr>
          <w:rFonts w:ascii="Times New Roman" w:hAnsi="Times New Roman" w:cs="Times New Roman"/>
          <w:sz w:val="24"/>
          <w:szCs w:val="24"/>
        </w:rPr>
        <w:t xml:space="preserve">e, obálky, kancelárske doplnky </w:t>
      </w:r>
      <w:r w:rsidRPr="00F64085">
        <w:rPr>
          <w:rFonts w:ascii="Times New Roman" w:hAnsi="Times New Roman" w:cs="Times New Roman"/>
          <w:sz w:val="24"/>
          <w:szCs w:val="24"/>
        </w:rPr>
        <w:t>a pod.);</w:t>
      </w:r>
    </w:p>
    <w:p w14:paraId="103B0259" w14:textId="77777777" w:rsidR="00961B84" w:rsidRDefault="00245089" w:rsidP="00753C31">
      <w:pPr>
        <w:pStyle w:val="Odsekzoznamu"/>
        <w:numPr>
          <w:ilvl w:val="0"/>
          <w:numId w:val="3"/>
        </w:numPr>
        <w:jc w:val="both"/>
        <w:rPr>
          <w:rFonts w:ascii="Times New Roman" w:hAnsi="Times New Roman" w:cs="Times New Roman"/>
          <w:sz w:val="24"/>
          <w:szCs w:val="24"/>
        </w:rPr>
      </w:pPr>
      <w:r w:rsidRPr="001E7DB1">
        <w:rPr>
          <w:rFonts w:ascii="Times New Roman" w:hAnsi="Times New Roman" w:cs="Times New Roman"/>
          <w:sz w:val="24"/>
          <w:szCs w:val="24"/>
        </w:rPr>
        <w:t>výd</w:t>
      </w:r>
      <w:r w:rsidR="0095228F">
        <w:rPr>
          <w:rFonts w:ascii="Times New Roman" w:hAnsi="Times New Roman" w:cs="Times New Roman"/>
          <w:sz w:val="24"/>
          <w:szCs w:val="24"/>
        </w:rPr>
        <w:t>avky súvisiace s informovaním</w:t>
      </w:r>
      <w:r w:rsidRPr="001E7DB1">
        <w:rPr>
          <w:rFonts w:ascii="Times New Roman" w:hAnsi="Times New Roman" w:cs="Times New Roman"/>
          <w:sz w:val="24"/>
          <w:szCs w:val="24"/>
        </w:rPr>
        <w:t xml:space="preserve"> a komunikáciou </w:t>
      </w:r>
      <w:r w:rsidR="00B44574">
        <w:rPr>
          <w:rFonts w:ascii="Times New Roman" w:hAnsi="Times New Roman" w:cs="Times New Roman"/>
          <w:sz w:val="24"/>
          <w:szCs w:val="24"/>
        </w:rPr>
        <w:t>spojenou s realizáciou projektu      (</w:t>
      </w:r>
      <w:r>
        <w:rPr>
          <w:rFonts w:ascii="Times New Roman" w:hAnsi="Times New Roman" w:cs="Times New Roman"/>
          <w:sz w:val="24"/>
          <w:szCs w:val="24"/>
        </w:rPr>
        <w:t xml:space="preserve">napr. </w:t>
      </w:r>
      <w:r w:rsidR="006E39B2">
        <w:rPr>
          <w:rFonts w:ascii="Times New Roman" w:hAnsi="Times New Roman" w:cs="Times New Roman"/>
          <w:sz w:val="24"/>
          <w:szCs w:val="24"/>
        </w:rPr>
        <w:t>skladačky</w:t>
      </w:r>
      <w:r>
        <w:rPr>
          <w:rFonts w:ascii="Times New Roman" w:hAnsi="Times New Roman" w:cs="Times New Roman"/>
          <w:sz w:val="24"/>
          <w:szCs w:val="24"/>
        </w:rPr>
        <w:t>, brožúr</w:t>
      </w:r>
      <w:r w:rsidR="006E39B2">
        <w:rPr>
          <w:rFonts w:ascii="Times New Roman" w:hAnsi="Times New Roman" w:cs="Times New Roman"/>
          <w:sz w:val="24"/>
          <w:szCs w:val="24"/>
        </w:rPr>
        <w:t>y</w:t>
      </w:r>
      <w:r>
        <w:rPr>
          <w:rFonts w:ascii="Times New Roman" w:hAnsi="Times New Roman" w:cs="Times New Roman"/>
          <w:sz w:val="24"/>
          <w:szCs w:val="24"/>
        </w:rPr>
        <w:t xml:space="preserve">, </w:t>
      </w:r>
      <w:r w:rsidR="006E39B2">
        <w:rPr>
          <w:rFonts w:ascii="Times New Roman" w:hAnsi="Times New Roman" w:cs="Times New Roman"/>
          <w:sz w:val="24"/>
          <w:szCs w:val="24"/>
        </w:rPr>
        <w:t>inzercia v printových médiách</w:t>
      </w:r>
      <w:r w:rsidR="00B44574">
        <w:rPr>
          <w:rFonts w:ascii="Times New Roman" w:hAnsi="Times New Roman" w:cs="Times New Roman"/>
          <w:sz w:val="24"/>
          <w:szCs w:val="24"/>
        </w:rPr>
        <w:t xml:space="preserve">, </w:t>
      </w:r>
      <w:proofErr w:type="spellStart"/>
      <w:r w:rsidR="006E39B2">
        <w:rPr>
          <w:rFonts w:ascii="Times New Roman" w:hAnsi="Times New Roman" w:cs="Times New Roman"/>
          <w:sz w:val="24"/>
          <w:szCs w:val="24"/>
        </w:rPr>
        <w:t>roll</w:t>
      </w:r>
      <w:proofErr w:type="spellEnd"/>
      <w:r w:rsidR="006E39B2">
        <w:rPr>
          <w:rFonts w:ascii="Times New Roman" w:hAnsi="Times New Roman" w:cs="Times New Roman"/>
          <w:sz w:val="24"/>
          <w:szCs w:val="24"/>
        </w:rPr>
        <w:t xml:space="preserve"> </w:t>
      </w:r>
      <w:proofErr w:type="spellStart"/>
      <w:r w:rsidR="006E39B2">
        <w:rPr>
          <w:rFonts w:ascii="Times New Roman" w:hAnsi="Times New Roman" w:cs="Times New Roman"/>
          <w:sz w:val="24"/>
          <w:szCs w:val="24"/>
        </w:rPr>
        <w:t>up</w:t>
      </w:r>
      <w:proofErr w:type="spellEnd"/>
      <w:r w:rsidR="006E39B2">
        <w:rPr>
          <w:rFonts w:ascii="Times New Roman" w:hAnsi="Times New Roman" w:cs="Times New Roman"/>
          <w:sz w:val="24"/>
          <w:szCs w:val="24"/>
        </w:rPr>
        <w:t xml:space="preserve"> bannery</w:t>
      </w:r>
      <w:r w:rsidR="00E13E84">
        <w:rPr>
          <w:rFonts w:ascii="Times New Roman" w:hAnsi="Times New Roman" w:cs="Times New Roman"/>
          <w:sz w:val="24"/>
          <w:szCs w:val="24"/>
        </w:rPr>
        <w:t xml:space="preserve">, </w:t>
      </w:r>
      <w:r w:rsidR="006E39B2">
        <w:rPr>
          <w:rFonts w:ascii="Times New Roman" w:hAnsi="Times New Roman" w:cs="Times New Roman"/>
          <w:sz w:val="24"/>
          <w:szCs w:val="24"/>
        </w:rPr>
        <w:t>trvalo vysvetľujúca tabuľa</w:t>
      </w:r>
      <w:r w:rsidR="00CF2701">
        <w:rPr>
          <w:rFonts w:ascii="Times New Roman" w:hAnsi="Times New Roman" w:cs="Times New Roman"/>
          <w:sz w:val="24"/>
          <w:szCs w:val="24"/>
        </w:rPr>
        <w:t xml:space="preserve"> a pod.)</w:t>
      </w:r>
      <w:r w:rsidR="00961B84">
        <w:rPr>
          <w:rFonts w:ascii="Times New Roman" w:hAnsi="Times New Roman" w:cs="Times New Roman"/>
          <w:sz w:val="24"/>
          <w:szCs w:val="24"/>
        </w:rPr>
        <w:t>;</w:t>
      </w:r>
    </w:p>
    <w:p w14:paraId="658CDF64" w14:textId="5ABB80A7" w:rsidR="00F449B8" w:rsidRPr="00042637" w:rsidRDefault="00F449B8" w:rsidP="00F449B8">
      <w:pPr>
        <w:pStyle w:val="Odsekzoznamu"/>
        <w:numPr>
          <w:ilvl w:val="0"/>
          <w:numId w:val="3"/>
        </w:numPr>
        <w:jc w:val="both"/>
        <w:rPr>
          <w:rFonts w:ascii="Times New Roman" w:hAnsi="Times New Roman" w:cs="Times New Roman"/>
          <w:sz w:val="24"/>
          <w:szCs w:val="24"/>
        </w:rPr>
      </w:pPr>
      <w:r w:rsidRPr="00042637">
        <w:rPr>
          <w:rFonts w:ascii="Times New Roman" w:hAnsi="Times New Roman" w:cs="Times New Roman"/>
          <w:sz w:val="24"/>
          <w:szCs w:val="24"/>
        </w:rPr>
        <w:lastRenderedPageBreak/>
        <w:t>výdavky na obstaranie zariadenia a vybavenia, ktoré používa výlučne riadiaci a administratívny personál</w:t>
      </w:r>
      <w:r w:rsidRPr="00042637">
        <w:rPr>
          <w:rStyle w:val="Odkaznapoznmkupodiarou"/>
          <w:rFonts w:ascii="Times New Roman" w:hAnsi="Times New Roman" w:cs="Times New Roman"/>
          <w:sz w:val="24"/>
          <w:szCs w:val="24"/>
        </w:rPr>
        <w:footnoteReference w:id="6"/>
      </w:r>
      <w:r w:rsidRPr="00042637">
        <w:rPr>
          <w:rFonts w:ascii="Times New Roman" w:hAnsi="Times New Roman" w:cs="Times New Roman"/>
          <w:sz w:val="24"/>
          <w:szCs w:val="24"/>
        </w:rPr>
        <w:t>.</w:t>
      </w:r>
    </w:p>
    <w:p w14:paraId="2C158B59" w14:textId="77777777" w:rsidR="00CF2701" w:rsidRPr="00042637" w:rsidRDefault="00CF2701" w:rsidP="00CF2701">
      <w:pPr>
        <w:jc w:val="both"/>
        <w:rPr>
          <w:rFonts w:ascii="Times New Roman" w:hAnsi="Times New Roman" w:cs="Times New Roman"/>
          <w:b/>
          <w:sz w:val="24"/>
          <w:szCs w:val="24"/>
        </w:rPr>
      </w:pPr>
      <w:r w:rsidRPr="00042637">
        <w:rPr>
          <w:rFonts w:ascii="Times New Roman" w:hAnsi="Times New Roman" w:cs="Times New Roman"/>
          <w:b/>
          <w:sz w:val="24"/>
          <w:szCs w:val="24"/>
        </w:rPr>
        <w:t>Oprávnené výdavky priame pre žiadateľa:</w:t>
      </w:r>
    </w:p>
    <w:p w14:paraId="28CD2ED8" w14:textId="26BA0A83" w:rsidR="00042637" w:rsidRPr="00042637" w:rsidRDefault="00042637" w:rsidP="00042637">
      <w:pPr>
        <w:pStyle w:val="Odsekzoznamu"/>
        <w:numPr>
          <w:ilvl w:val="0"/>
          <w:numId w:val="3"/>
        </w:numPr>
        <w:jc w:val="both"/>
        <w:rPr>
          <w:rFonts w:ascii="Times New Roman" w:hAnsi="Times New Roman" w:cs="Times New Roman"/>
          <w:sz w:val="24"/>
          <w:szCs w:val="24"/>
        </w:rPr>
      </w:pPr>
      <w:r w:rsidRPr="00042637">
        <w:rPr>
          <w:rFonts w:ascii="Times New Roman" w:hAnsi="Times New Roman" w:cs="Times New Roman"/>
          <w:sz w:val="24"/>
          <w:szCs w:val="24"/>
        </w:rPr>
        <w:t>výdavky na obstaranie zariadenia a vybavenia (vrátane kancelárskeho vybavenia), ktoré výlučne používa odborný personál</w:t>
      </w:r>
      <w:r>
        <w:rPr>
          <w:rFonts w:ascii="Times New Roman" w:hAnsi="Times New Roman" w:cs="Times New Roman"/>
          <w:sz w:val="24"/>
          <w:szCs w:val="24"/>
        </w:rPr>
        <w:t xml:space="preserve"> a účastníci projektu</w:t>
      </w:r>
      <w:r w:rsidRPr="00042637">
        <w:rPr>
          <w:rStyle w:val="Odkaznapoznmkupodiarou"/>
          <w:rFonts w:ascii="Times New Roman" w:hAnsi="Times New Roman" w:cs="Times New Roman"/>
          <w:sz w:val="24"/>
          <w:szCs w:val="24"/>
        </w:rPr>
        <w:footnoteReference w:id="7"/>
      </w:r>
      <w:r w:rsidRPr="00042637">
        <w:rPr>
          <w:rFonts w:ascii="Times New Roman" w:hAnsi="Times New Roman" w:cs="Times New Roman"/>
          <w:sz w:val="24"/>
          <w:szCs w:val="24"/>
        </w:rPr>
        <w:t>;</w:t>
      </w:r>
    </w:p>
    <w:p w14:paraId="3ED7E9C0" w14:textId="138E62A6" w:rsidR="00042637" w:rsidRDefault="00042637" w:rsidP="00042637">
      <w:pPr>
        <w:pStyle w:val="Odsekzoznamu"/>
        <w:numPr>
          <w:ilvl w:val="0"/>
          <w:numId w:val="3"/>
        </w:numPr>
        <w:jc w:val="both"/>
        <w:rPr>
          <w:rFonts w:ascii="Times New Roman" w:hAnsi="Times New Roman" w:cs="Times New Roman"/>
          <w:sz w:val="24"/>
          <w:szCs w:val="24"/>
        </w:rPr>
      </w:pPr>
      <w:r w:rsidRPr="00042637">
        <w:rPr>
          <w:rFonts w:ascii="Times New Roman" w:hAnsi="Times New Roman" w:cs="Times New Roman"/>
          <w:sz w:val="24"/>
          <w:szCs w:val="24"/>
        </w:rPr>
        <w:t>personálne výdavky</w:t>
      </w:r>
      <w:r w:rsidRPr="00042637">
        <w:rPr>
          <w:rStyle w:val="Odkaznapoznmkupodiarou"/>
          <w:rFonts w:ascii="Times New Roman" w:hAnsi="Times New Roman" w:cs="Times New Roman"/>
          <w:sz w:val="24"/>
          <w:szCs w:val="24"/>
        </w:rPr>
        <w:footnoteReference w:id="8"/>
      </w:r>
      <w:r w:rsidRPr="00042637">
        <w:rPr>
          <w:rFonts w:ascii="Times New Roman" w:hAnsi="Times New Roman" w:cs="Times New Roman"/>
          <w:sz w:val="24"/>
          <w:szCs w:val="24"/>
        </w:rPr>
        <w:t xml:space="preserve"> – odborný personál, ktorí sa výlučne podieľa na odborných aktivitách projektu</w:t>
      </w:r>
      <w:r w:rsidRPr="00042637">
        <w:rPr>
          <w:rStyle w:val="Odkaznapoznmkupodiarou"/>
          <w:rFonts w:ascii="Times New Roman" w:hAnsi="Times New Roman" w:cs="Times New Roman"/>
          <w:sz w:val="24"/>
          <w:szCs w:val="24"/>
        </w:rPr>
        <w:footnoteReference w:id="9"/>
      </w:r>
      <w:r w:rsidRPr="00042637">
        <w:rPr>
          <w:rFonts w:ascii="Times New Roman" w:hAnsi="Times New Roman" w:cs="Times New Roman"/>
          <w:sz w:val="24"/>
          <w:szCs w:val="24"/>
        </w:rPr>
        <w:t>;</w:t>
      </w:r>
    </w:p>
    <w:p w14:paraId="4300DF96" w14:textId="764B95CE" w:rsidR="00760FB8" w:rsidRPr="00042637" w:rsidRDefault="00760FB8" w:rsidP="0004263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pohonné hmoty;</w:t>
      </w:r>
    </w:p>
    <w:p w14:paraId="0D23C07C" w14:textId="3173618D" w:rsidR="00CF2701" w:rsidRDefault="00CF2701" w:rsidP="00CF2701">
      <w:pPr>
        <w:pStyle w:val="Odsekzoznamu"/>
        <w:numPr>
          <w:ilvl w:val="0"/>
          <w:numId w:val="3"/>
        </w:numPr>
        <w:jc w:val="both"/>
        <w:rPr>
          <w:rFonts w:ascii="Times New Roman" w:hAnsi="Times New Roman" w:cs="Times New Roman"/>
          <w:sz w:val="24"/>
          <w:szCs w:val="24"/>
        </w:rPr>
      </w:pPr>
      <w:r w:rsidRPr="00042637">
        <w:rPr>
          <w:rFonts w:ascii="Times New Roman" w:hAnsi="Times New Roman" w:cs="Times New Roman"/>
          <w:sz w:val="24"/>
          <w:szCs w:val="24"/>
        </w:rPr>
        <w:t xml:space="preserve">cestovné náhrady </w:t>
      </w:r>
      <w:r w:rsidR="00E13E84" w:rsidRPr="00042637">
        <w:rPr>
          <w:rFonts w:ascii="Times New Roman" w:hAnsi="Times New Roman" w:cs="Times New Roman"/>
          <w:sz w:val="24"/>
          <w:szCs w:val="24"/>
        </w:rPr>
        <w:t>–</w:t>
      </w:r>
      <w:r w:rsidRPr="00042637">
        <w:rPr>
          <w:rFonts w:ascii="Times New Roman" w:hAnsi="Times New Roman" w:cs="Times New Roman"/>
          <w:sz w:val="24"/>
          <w:szCs w:val="24"/>
        </w:rPr>
        <w:t xml:space="preserve"> tuzemské</w:t>
      </w:r>
      <w:r w:rsidR="00E13E84" w:rsidRPr="00042637">
        <w:rPr>
          <w:rFonts w:ascii="Times New Roman" w:hAnsi="Times New Roman" w:cs="Times New Roman"/>
          <w:sz w:val="24"/>
          <w:szCs w:val="24"/>
        </w:rPr>
        <w:t xml:space="preserve"> </w:t>
      </w:r>
      <w:r w:rsidRPr="00042637">
        <w:rPr>
          <w:rFonts w:ascii="Times New Roman" w:hAnsi="Times New Roman" w:cs="Times New Roman"/>
          <w:sz w:val="24"/>
          <w:szCs w:val="24"/>
        </w:rPr>
        <w:t>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042637">
        <w:rPr>
          <w:rStyle w:val="Odkaznapoznmkupodiarou"/>
          <w:rFonts w:ascii="Times New Roman" w:hAnsi="Times New Roman" w:cs="Times New Roman"/>
          <w:sz w:val="24"/>
          <w:szCs w:val="24"/>
        </w:rPr>
        <w:footnoteReference w:id="10"/>
      </w:r>
      <w:r w:rsidRPr="00042637">
        <w:rPr>
          <w:rFonts w:ascii="Times New Roman" w:hAnsi="Times New Roman" w:cs="Times New Roman"/>
          <w:sz w:val="24"/>
          <w:szCs w:val="24"/>
        </w:rPr>
        <w:t>);</w:t>
      </w:r>
    </w:p>
    <w:p w14:paraId="1BE16884" w14:textId="28841D24" w:rsidR="00B6247A" w:rsidRPr="002D436D" w:rsidRDefault="00B6247A" w:rsidP="00DB09EE">
      <w:pPr>
        <w:pStyle w:val="Odsekzoznamu"/>
        <w:numPr>
          <w:ilvl w:val="0"/>
          <w:numId w:val="3"/>
        </w:numPr>
        <w:jc w:val="both"/>
        <w:rPr>
          <w:rFonts w:ascii="Times New Roman" w:hAnsi="Times New Roman" w:cs="Times New Roman"/>
          <w:sz w:val="24"/>
          <w:szCs w:val="24"/>
        </w:rPr>
      </w:pPr>
      <w:r w:rsidRPr="002D436D">
        <w:rPr>
          <w:rFonts w:ascii="Times New Roman" w:hAnsi="Times New Roman" w:cs="Times New Roman"/>
          <w:sz w:val="24"/>
          <w:szCs w:val="24"/>
        </w:rPr>
        <w:t xml:space="preserve">stravné </w:t>
      </w:r>
      <w:r w:rsidR="00485072">
        <w:rPr>
          <w:rFonts w:ascii="Times New Roman" w:hAnsi="Times New Roman" w:cs="Times New Roman"/>
          <w:sz w:val="24"/>
          <w:szCs w:val="24"/>
        </w:rPr>
        <w:t xml:space="preserve">a občerstvenie </w:t>
      </w:r>
      <w:r w:rsidR="002D436D" w:rsidRPr="002D436D">
        <w:rPr>
          <w:rFonts w:ascii="Times New Roman" w:hAnsi="Times New Roman" w:cs="Times New Roman"/>
          <w:sz w:val="24"/>
          <w:szCs w:val="24"/>
        </w:rPr>
        <w:t>vzťahujúce sa na účastníkov projektu</w:t>
      </w:r>
      <w:r w:rsidR="00B12224">
        <w:rPr>
          <w:rStyle w:val="Odkaznapoznmkupodiarou"/>
          <w:rFonts w:ascii="Times New Roman" w:hAnsi="Times New Roman" w:cs="Times New Roman"/>
          <w:sz w:val="24"/>
          <w:szCs w:val="24"/>
        </w:rPr>
        <w:footnoteReference w:id="11"/>
      </w:r>
      <w:r w:rsidR="002D436D" w:rsidRPr="002D436D">
        <w:rPr>
          <w:rFonts w:ascii="Times New Roman" w:hAnsi="Times New Roman" w:cs="Times New Roman"/>
          <w:sz w:val="24"/>
          <w:szCs w:val="24"/>
        </w:rPr>
        <w:t xml:space="preserve">; </w:t>
      </w:r>
    </w:p>
    <w:p w14:paraId="7BB09D51" w14:textId="6ACB9F2F" w:rsidR="00B6247A" w:rsidRPr="00042637" w:rsidRDefault="00AF2CDC" w:rsidP="00CF2701">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výdavky na obstaranie tlačených odborných právnických publikácií;</w:t>
      </w:r>
    </w:p>
    <w:p w14:paraId="7593FC68" w14:textId="202919B5" w:rsidR="00CF2701" w:rsidRPr="00DB7C49" w:rsidRDefault="003A349F" w:rsidP="00DB7C4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expert</w:t>
      </w:r>
      <w:r>
        <w:rPr>
          <w:rFonts w:ascii="Times New Roman" w:hAnsi="Times New Roman" w:cs="Times New Roman"/>
          <w:sz w:val="24"/>
          <w:szCs w:val="24"/>
        </w:rPr>
        <w:t>nú činnosť</w:t>
      </w:r>
      <w:r w:rsidRPr="007755BF">
        <w:rPr>
          <w:rFonts w:ascii="Times New Roman" w:hAnsi="Times New Roman" w:cs="Times New Roman"/>
          <w:sz w:val="24"/>
          <w:szCs w:val="24"/>
        </w:rPr>
        <w:t xml:space="preserve">, </w:t>
      </w:r>
      <w:r>
        <w:rPr>
          <w:rFonts w:ascii="Times New Roman" w:hAnsi="Times New Roman" w:cs="Times New Roman"/>
          <w:sz w:val="24"/>
          <w:szCs w:val="24"/>
        </w:rPr>
        <w:t>školenia,</w:t>
      </w:r>
      <w:r w:rsidR="002D098A">
        <w:rPr>
          <w:rFonts w:ascii="Times New Roman" w:hAnsi="Times New Roman" w:cs="Times New Roman"/>
          <w:sz w:val="24"/>
          <w:szCs w:val="24"/>
        </w:rPr>
        <w:t xml:space="preserve"> stáže</w:t>
      </w:r>
      <w:r w:rsidR="00AF2CDC">
        <w:rPr>
          <w:rFonts w:ascii="Times New Roman" w:hAnsi="Times New Roman" w:cs="Times New Roman"/>
          <w:sz w:val="24"/>
          <w:szCs w:val="24"/>
        </w:rPr>
        <w:t>, odborné konferencie</w:t>
      </w:r>
      <w:r w:rsidR="002D098A">
        <w:rPr>
          <w:rFonts w:ascii="Times New Roman" w:hAnsi="Times New Roman" w:cs="Times New Roman"/>
          <w:sz w:val="24"/>
          <w:szCs w:val="24"/>
        </w:rPr>
        <w:t xml:space="preserve"> </w:t>
      </w:r>
      <w:r w:rsidRPr="002D098A">
        <w:rPr>
          <w:rFonts w:ascii="Times New Roman" w:hAnsi="Times New Roman" w:cs="Times New Roman"/>
          <w:sz w:val="24"/>
          <w:szCs w:val="24"/>
        </w:rPr>
        <w:t xml:space="preserve">a </w:t>
      </w:r>
      <w:r w:rsidRPr="00DB7C49">
        <w:rPr>
          <w:rFonts w:ascii="Times New Roman" w:hAnsi="Times New Roman" w:cs="Times New Roman"/>
          <w:sz w:val="24"/>
          <w:szCs w:val="24"/>
        </w:rPr>
        <w:t xml:space="preserve">ďalšie služby súvisiace s implementáciou projektu – dodávané externe </w:t>
      </w:r>
      <w:r w:rsidR="001A4D25" w:rsidRPr="00DB7C49">
        <w:rPr>
          <w:rFonts w:ascii="Times New Roman" w:hAnsi="Times New Roman" w:cs="Times New Roman"/>
          <w:sz w:val="24"/>
          <w:szCs w:val="24"/>
        </w:rPr>
        <w:t>.</w:t>
      </w: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nákup infraštruktúry</w:t>
      </w:r>
      <w:r w:rsidRPr="007755BF">
        <w:rPr>
          <w:rStyle w:val="Odkaznapoznmkupodiarou"/>
          <w:rFonts w:ascii="Times New Roman" w:hAnsi="Times New Roman" w:cs="Times New Roman"/>
          <w:sz w:val="24"/>
          <w:szCs w:val="24"/>
        </w:rPr>
        <w:footnoteReference w:id="12"/>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3"/>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4"/>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2E82F" w14:textId="77777777" w:rsidR="00A13477" w:rsidRDefault="00A13477" w:rsidP="00534853">
      <w:pPr>
        <w:spacing w:after="0" w:line="240" w:lineRule="auto"/>
      </w:pPr>
      <w:r>
        <w:separator/>
      </w:r>
    </w:p>
  </w:endnote>
  <w:endnote w:type="continuationSeparator" w:id="0">
    <w:p w14:paraId="07A06365" w14:textId="77777777" w:rsidR="00A13477" w:rsidRDefault="00A13477" w:rsidP="00534853">
      <w:pPr>
        <w:spacing w:after="0" w:line="240" w:lineRule="auto"/>
      </w:pPr>
      <w:r>
        <w:continuationSeparator/>
      </w:r>
    </w:p>
  </w:endnote>
  <w:endnote w:type="continuationNotice" w:id="1">
    <w:p w14:paraId="5AD306F4" w14:textId="77777777" w:rsidR="00A13477" w:rsidRDefault="00A13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4D5BC" w14:textId="77777777" w:rsidR="00A13477" w:rsidRDefault="00A13477" w:rsidP="00534853">
      <w:pPr>
        <w:spacing w:after="0" w:line="240" w:lineRule="auto"/>
      </w:pPr>
      <w:r>
        <w:separator/>
      </w:r>
    </w:p>
  </w:footnote>
  <w:footnote w:type="continuationSeparator" w:id="0">
    <w:p w14:paraId="623A0CA5" w14:textId="77777777" w:rsidR="00A13477" w:rsidRDefault="00A13477" w:rsidP="00534853">
      <w:pPr>
        <w:spacing w:after="0" w:line="240" w:lineRule="auto"/>
      </w:pPr>
      <w:r>
        <w:continuationSeparator/>
      </w:r>
    </w:p>
  </w:footnote>
  <w:footnote w:type="continuationNotice" w:id="1">
    <w:p w14:paraId="7BB64A71" w14:textId="77777777" w:rsidR="00A13477" w:rsidRDefault="00A13477">
      <w:pPr>
        <w:spacing w:after="0" w:line="240" w:lineRule="auto"/>
      </w:pPr>
    </w:p>
  </w:footnote>
  <w:footnote w:id="2">
    <w:p w14:paraId="1DCAFB20" w14:textId="5B4E1CC3" w:rsidR="00E51D91" w:rsidRPr="00F84E4F" w:rsidRDefault="00E51D91"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CA6104">
        <w:rPr>
          <w:rFonts w:ascii="Times New Roman" w:hAnsi="Times New Roman" w:cs="Times New Roman"/>
          <w:sz w:val="18"/>
          <w:szCs w:val="18"/>
        </w:rPr>
        <w:t>V zmysle Príručky pre žiadateľa o nenávratný finančný príspevok OP EVS v platnom znení RO pre OP</w:t>
      </w:r>
      <w:r>
        <w:rPr>
          <w:rFonts w:ascii="Times New Roman" w:hAnsi="Times New Roman" w:cs="Times New Roman"/>
          <w:sz w:val="18"/>
          <w:szCs w:val="18"/>
        </w:rPr>
        <w:t xml:space="preserve"> </w:t>
      </w:r>
      <w:r w:rsidRPr="00CA6104">
        <w:rPr>
          <w:rFonts w:ascii="Times New Roman" w:hAnsi="Times New Roman" w:cs="Times New Roman"/>
          <w:sz w:val="18"/>
          <w:szCs w:val="18"/>
        </w:rPr>
        <w:t>EVS stanovuje limit na nepriame výdavky na 20 % z celkových priamych výdavkov.</w:t>
      </w:r>
      <w:r>
        <w:rPr>
          <w:sz w:val="22"/>
          <w:szCs w:val="22"/>
        </w:rPr>
        <w:t xml:space="preserve"> </w:t>
      </w:r>
    </w:p>
  </w:footnote>
  <w:footnote w:id="3">
    <w:p w14:paraId="3443DF6F" w14:textId="6F343277" w:rsidR="00E51D91" w:rsidRPr="004C1867" w:rsidRDefault="00E51D91"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ako aj v priebehu implementácie projektu. </w:t>
      </w:r>
      <w:r w:rsidRPr="002B088F">
        <w:rPr>
          <w:rFonts w:ascii="Times New Roman" w:hAnsi="Times New Roman" w:cs="Times New Roman"/>
          <w:sz w:val="18"/>
          <w:szCs w:val="18"/>
        </w:rPr>
        <w:t xml:space="preserve">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ako aj v priebehu implementácie projektu.</w:t>
      </w:r>
    </w:p>
  </w:footnote>
  <w:footnote w:id="4">
    <w:p w14:paraId="43234C76" w14:textId="77777777" w:rsidR="00E51D91" w:rsidRPr="00F84E4F" w:rsidRDefault="00E51D91"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2AC1683B" w14:textId="77777777" w:rsidR="00E51D91" w:rsidRPr="00F84E4F" w:rsidRDefault="00E51D91" w:rsidP="00961B84">
      <w:pPr>
        <w:pStyle w:val="Textpoznmkypodiarou"/>
        <w:jc w:val="both"/>
        <w:rPr>
          <w:rFonts w:ascii="Times New Roman" w:hAnsi="Times New Roman" w:cs="Times New Roman"/>
          <w:sz w:val="18"/>
          <w:szCs w:val="18"/>
        </w:rPr>
      </w:pPr>
      <w:r w:rsidRPr="00F23E99">
        <w:rPr>
          <w:rStyle w:val="Odkaznapoznmkupodiarou"/>
          <w:rFonts w:ascii="Times New Roman" w:hAnsi="Times New Roman" w:cs="Times New Roman"/>
          <w:sz w:val="18"/>
          <w:szCs w:val="18"/>
        </w:rPr>
        <w:footnoteRef/>
      </w:r>
      <w:r w:rsidRPr="00F23E99">
        <w:rPr>
          <w:rStyle w:val="Odkaznapoznmkupodiarou"/>
          <w:rFonts w:ascii="Times New Roman" w:hAnsi="Times New Roman" w:cs="Times New Roman"/>
          <w:sz w:val="18"/>
          <w:szCs w:val="18"/>
        </w:rPr>
        <w:t xml:space="preserve"> </w:t>
      </w:r>
      <w:r w:rsidRPr="00F23E99">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6">
    <w:p w14:paraId="6862EB5F" w14:textId="77777777" w:rsidR="00E51D91" w:rsidRPr="00F84E4F" w:rsidRDefault="00E51D91" w:rsidP="00F449B8">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podpornými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7">
    <w:p w14:paraId="628ADB0D" w14:textId="77777777" w:rsidR="00E51D91" w:rsidRPr="00F84E4F" w:rsidRDefault="00E51D91" w:rsidP="00042637">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8">
    <w:p w14:paraId="070C7339" w14:textId="77777777" w:rsidR="00E51D91" w:rsidRPr="00405F7F" w:rsidRDefault="00E51D91" w:rsidP="00042637">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ako aj v priebehu implementácie projektu.</w:t>
      </w:r>
    </w:p>
  </w:footnote>
  <w:footnote w:id="9">
    <w:p w14:paraId="03AD0CD4" w14:textId="77777777" w:rsidR="00E51D91" w:rsidRPr="00F84E4F" w:rsidRDefault="00E51D91" w:rsidP="00042637">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Výdavky vzniknuté výlučne na základe pracovnoprávneho vzťahu (pracovný pomer, dohody o prácach vykonávaných mimo pracovného pomeru) alebo obdobného pracovného vzťahu (štátnozamestnanecký pomer, výkon práce vo verejnom záujme).</w:t>
      </w:r>
    </w:p>
  </w:footnote>
  <w:footnote w:id="10">
    <w:p w14:paraId="5048C960" w14:textId="77777777" w:rsidR="00E51D91" w:rsidRPr="00F84E4F" w:rsidRDefault="00E51D91"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46434A">
        <w:rPr>
          <w:rStyle w:val="Odkaznapoznmkupodiarou"/>
          <w:rFonts w:ascii="Times New Roman" w:hAnsi="Times New Roman" w:cs="Times New Roman"/>
          <w:sz w:val="18"/>
          <w:szCs w:val="18"/>
        </w:rPr>
        <w:t xml:space="preserve"> </w:t>
      </w:r>
      <w:r w:rsidRPr="00DB09EE">
        <w:rPr>
          <w:rStyle w:val="Odkaznapoznmkupodiarou"/>
          <w:rFonts w:ascii="Times New Roman" w:hAnsi="Times New Roman" w:cs="Times New Roman"/>
          <w:sz w:val="18"/>
          <w:szCs w:val="18"/>
          <w:vertAlign w:val="baseline"/>
        </w:rPr>
        <w:t>V prípade, ak prijímateľ zabezpečí uvedené výdavky dodávateľsky, v rámci pracovnoprávnych vzťahov alebo obdobných pracovných vzťahov</w:t>
      </w:r>
      <w:r w:rsidRPr="0046434A">
        <w:rPr>
          <w:rFonts w:ascii="Times New Roman" w:hAnsi="Times New Roman" w:cs="Times New Roman"/>
          <w:sz w:val="18"/>
          <w:szCs w:val="18"/>
        </w:rPr>
        <w:t xml:space="preserve">, sú uvedené výdavky tiež oprávnené (napr. </w:t>
      </w:r>
      <w:r w:rsidRPr="00F84E4F">
        <w:rPr>
          <w:rFonts w:ascii="Times New Roman" w:hAnsi="Times New Roman" w:cs="Times New Roman"/>
          <w:sz w:val="18"/>
          <w:szCs w:val="18"/>
        </w:rPr>
        <w:t>prijímateľ zabezpečí pre svojich zamestnancov ubytovanie v penzióne).</w:t>
      </w:r>
    </w:p>
  </w:footnote>
  <w:footnote w:id="11">
    <w:p w14:paraId="3DF907F1" w14:textId="5A4CF02E" w:rsidR="00E51D91" w:rsidRPr="0046434A" w:rsidRDefault="00E51D91" w:rsidP="00E51D91">
      <w:pPr>
        <w:pStyle w:val="Textpoznmkypodiarou"/>
        <w:jc w:val="both"/>
        <w:rPr>
          <w:rFonts w:ascii="Times New Roman" w:hAnsi="Times New Roman" w:cs="Times New Roman"/>
          <w:sz w:val="18"/>
          <w:szCs w:val="18"/>
        </w:rPr>
      </w:pPr>
      <w:r>
        <w:rPr>
          <w:rFonts w:ascii="Times New Roman" w:hAnsi="Times New Roman" w:cs="Times New Roman"/>
          <w:sz w:val="18"/>
          <w:szCs w:val="18"/>
          <w:vertAlign w:val="superscript"/>
        </w:rPr>
        <w:t>10</w:t>
      </w:r>
      <w:r w:rsidRPr="00404F90">
        <w:rPr>
          <w:rFonts w:ascii="Times New Roman" w:hAnsi="Times New Roman" w:cs="Times New Roman"/>
          <w:sz w:val="18"/>
          <w:szCs w:val="18"/>
        </w:rPr>
        <w:t xml:space="preserve"> Oprávnenými účastníkmi pro</w:t>
      </w:r>
      <w:r w:rsidR="001462A7">
        <w:rPr>
          <w:rFonts w:ascii="Times New Roman" w:hAnsi="Times New Roman" w:cs="Times New Roman"/>
          <w:sz w:val="18"/>
          <w:szCs w:val="18"/>
        </w:rPr>
        <w:t xml:space="preserve">jektu sú sudcovia, prokurátori, </w:t>
      </w:r>
      <w:r w:rsidRPr="00404F90">
        <w:rPr>
          <w:rFonts w:ascii="Times New Roman" w:hAnsi="Times New Roman" w:cs="Times New Roman"/>
          <w:sz w:val="18"/>
          <w:szCs w:val="18"/>
        </w:rPr>
        <w:t>justiční čakatelia, asisten</w:t>
      </w:r>
      <w:r w:rsidR="001462A7">
        <w:rPr>
          <w:rFonts w:ascii="Times New Roman" w:hAnsi="Times New Roman" w:cs="Times New Roman"/>
          <w:sz w:val="18"/>
          <w:szCs w:val="18"/>
        </w:rPr>
        <w:t xml:space="preserve">ti sudcov najvyššieho súdu SR, </w:t>
      </w:r>
      <w:r w:rsidRPr="00404F90">
        <w:rPr>
          <w:rFonts w:ascii="Times New Roman" w:hAnsi="Times New Roman" w:cs="Times New Roman"/>
          <w:sz w:val="18"/>
          <w:szCs w:val="18"/>
        </w:rPr>
        <w:t>právni čakatelia prokuratúry</w:t>
      </w:r>
      <w:r w:rsidR="001462A7">
        <w:rPr>
          <w:rFonts w:ascii="Times New Roman" w:hAnsi="Times New Roman" w:cs="Times New Roman"/>
          <w:sz w:val="18"/>
          <w:szCs w:val="18"/>
        </w:rPr>
        <w:t xml:space="preserve"> a</w:t>
      </w:r>
      <w:r>
        <w:rPr>
          <w:rFonts w:ascii="Times New Roman" w:hAnsi="Times New Roman" w:cs="Times New Roman"/>
          <w:sz w:val="18"/>
          <w:szCs w:val="18"/>
        </w:rPr>
        <w:t xml:space="preserve"> ostatní</w:t>
      </w:r>
      <w:r w:rsidRPr="00577CDB">
        <w:rPr>
          <w:rFonts w:ascii="Times New Roman" w:hAnsi="Times New Roman" w:cs="Times New Roman"/>
          <w:sz w:val="18"/>
          <w:szCs w:val="18"/>
        </w:rPr>
        <w:t xml:space="preserve"> </w:t>
      </w:r>
      <w:r w:rsidRPr="00404F90">
        <w:rPr>
          <w:rFonts w:ascii="Times New Roman" w:hAnsi="Times New Roman" w:cs="Times New Roman"/>
          <w:sz w:val="18"/>
          <w:szCs w:val="18"/>
        </w:rPr>
        <w:t>súdni úradníci</w:t>
      </w:r>
      <w:r>
        <w:rPr>
          <w:rFonts w:ascii="Times New Roman" w:hAnsi="Times New Roman" w:cs="Times New Roman"/>
          <w:sz w:val="18"/>
          <w:szCs w:val="18"/>
        </w:rPr>
        <w:t>.</w:t>
      </w:r>
    </w:p>
  </w:footnote>
  <w:footnote w:id="12">
    <w:p w14:paraId="13624CCE" w14:textId="77777777" w:rsidR="00E51D91" w:rsidRPr="00F84E4F" w:rsidRDefault="00E51D91"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E51D91" w:rsidRPr="00F84E4F" w:rsidRDefault="00E51D91"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E51D91" w:rsidRPr="00F84E4F" w:rsidRDefault="00E51D91"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E51D91" w:rsidRPr="00F84E4F" w:rsidRDefault="00E51D91"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E51D91" w:rsidRPr="00F84E4F" w:rsidRDefault="00E51D91"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3">
    <w:p w14:paraId="7415DD93" w14:textId="77777777" w:rsidR="00E51D91" w:rsidRPr="00F84E4F" w:rsidRDefault="00E51D91"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Uvedené môže mať vplyv na správne určenie finančnej medzery pri projektoch generujúcich príjmy.</w:t>
      </w:r>
    </w:p>
  </w:footnote>
  <w:footnote w:id="14">
    <w:p w14:paraId="05E239FB" w14:textId="77777777" w:rsidR="00E51D91" w:rsidRPr="00F84E4F" w:rsidRDefault="00E51D91"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E51D91" w:rsidRDefault="00E51D91" w:rsidP="00534853">
    <w:pPr>
      <w:pStyle w:val="Hlavika"/>
      <w:jc w:val="right"/>
      <w:rPr>
        <w:rFonts w:cstheme="minorHAnsi"/>
      </w:rPr>
    </w:pPr>
  </w:p>
  <w:p w14:paraId="3CD278EA" w14:textId="77777777" w:rsidR="00E51D91" w:rsidRDefault="00E51D91" w:rsidP="00071D07">
    <w:pPr>
      <w:pStyle w:val="Hlavika"/>
      <w:jc w:val="right"/>
    </w:pPr>
    <w:r>
      <w:t xml:space="preserve"> </w:t>
    </w:r>
  </w:p>
  <w:p w14:paraId="3CD278EB" w14:textId="77777777" w:rsidR="00E51D91" w:rsidRPr="00AA3E27" w:rsidRDefault="00E51D91"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E51D91" w:rsidRDefault="00E51D91"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77777777" w:rsidR="00E51D91" w:rsidRPr="007C593E" w:rsidRDefault="00E51D91"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7</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9C57BB"/>
    <w:rsid w:val="00002B12"/>
    <w:rsid w:val="000073D5"/>
    <w:rsid w:val="000243AC"/>
    <w:rsid w:val="0002538F"/>
    <w:rsid w:val="000345E6"/>
    <w:rsid w:val="00042028"/>
    <w:rsid w:val="00042637"/>
    <w:rsid w:val="000430D6"/>
    <w:rsid w:val="00050316"/>
    <w:rsid w:val="000530D2"/>
    <w:rsid w:val="0005439B"/>
    <w:rsid w:val="00055108"/>
    <w:rsid w:val="000558C8"/>
    <w:rsid w:val="00064C06"/>
    <w:rsid w:val="00065B51"/>
    <w:rsid w:val="00071D07"/>
    <w:rsid w:val="00075F2B"/>
    <w:rsid w:val="00075F61"/>
    <w:rsid w:val="0007694F"/>
    <w:rsid w:val="000954AC"/>
    <w:rsid w:val="000A7A8C"/>
    <w:rsid w:val="000C2D25"/>
    <w:rsid w:val="000F6065"/>
    <w:rsid w:val="000F7E02"/>
    <w:rsid w:val="00122971"/>
    <w:rsid w:val="00124B0F"/>
    <w:rsid w:val="0013232E"/>
    <w:rsid w:val="00133499"/>
    <w:rsid w:val="00145C45"/>
    <w:rsid w:val="001462A7"/>
    <w:rsid w:val="00147A08"/>
    <w:rsid w:val="00155194"/>
    <w:rsid w:val="00157CF3"/>
    <w:rsid w:val="00164B44"/>
    <w:rsid w:val="00185592"/>
    <w:rsid w:val="001A43BD"/>
    <w:rsid w:val="001A4D25"/>
    <w:rsid w:val="001B2321"/>
    <w:rsid w:val="001D2A8A"/>
    <w:rsid w:val="001E1500"/>
    <w:rsid w:val="001E56DC"/>
    <w:rsid w:val="001F7F93"/>
    <w:rsid w:val="00203F41"/>
    <w:rsid w:val="0022546D"/>
    <w:rsid w:val="00245089"/>
    <w:rsid w:val="00246179"/>
    <w:rsid w:val="00246CE4"/>
    <w:rsid w:val="00253422"/>
    <w:rsid w:val="00255FF5"/>
    <w:rsid w:val="00267469"/>
    <w:rsid w:val="002768E3"/>
    <w:rsid w:val="00282443"/>
    <w:rsid w:val="00291322"/>
    <w:rsid w:val="00291CC9"/>
    <w:rsid w:val="00292894"/>
    <w:rsid w:val="002A14EF"/>
    <w:rsid w:val="002A4D96"/>
    <w:rsid w:val="002A60F6"/>
    <w:rsid w:val="002B088F"/>
    <w:rsid w:val="002D098A"/>
    <w:rsid w:val="002D2DBD"/>
    <w:rsid w:val="002D436D"/>
    <w:rsid w:val="002D4CDD"/>
    <w:rsid w:val="002E18D5"/>
    <w:rsid w:val="002E4F14"/>
    <w:rsid w:val="002F08AE"/>
    <w:rsid w:val="002F30C1"/>
    <w:rsid w:val="002F42A4"/>
    <w:rsid w:val="002F7EC4"/>
    <w:rsid w:val="00304A63"/>
    <w:rsid w:val="00307AC1"/>
    <w:rsid w:val="0031442D"/>
    <w:rsid w:val="003205ED"/>
    <w:rsid w:val="00333961"/>
    <w:rsid w:val="00340E09"/>
    <w:rsid w:val="00357296"/>
    <w:rsid w:val="0036097B"/>
    <w:rsid w:val="00360C40"/>
    <w:rsid w:val="00363D6D"/>
    <w:rsid w:val="0038363B"/>
    <w:rsid w:val="00387A49"/>
    <w:rsid w:val="00392905"/>
    <w:rsid w:val="003952B7"/>
    <w:rsid w:val="003A349F"/>
    <w:rsid w:val="003A721E"/>
    <w:rsid w:val="003C41A1"/>
    <w:rsid w:val="003D0AEC"/>
    <w:rsid w:val="003D5A09"/>
    <w:rsid w:val="003E0CEA"/>
    <w:rsid w:val="003E4305"/>
    <w:rsid w:val="003F406D"/>
    <w:rsid w:val="00400C9D"/>
    <w:rsid w:val="00403993"/>
    <w:rsid w:val="0040422F"/>
    <w:rsid w:val="00404F90"/>
    <w:rsid w:val="004054A8"/>
    <w:rsid w:val="0041795E"/>
    <w:rsid w:val="00436B72"/>
    <w:rsid w:val="0043742D"/>
    <w:rsid w:val="0043772C"/>
    <w:rsid w:val="00453AF4"/>
    <w:rsid w:val="00462A3C"/>
    <w:rsid w:val="00463B30"/>
    <w:rsid w:val="0046434A"/>
    <w:rsid w:val="004701DE"/>
    <w:rsid w:val="00470916"/>
    <w:rsid w:val="0047650F"/>
    <w:rsid w:val="00476572"/>
    <w:rsid w:val="004810F8"/>
    <w:rsid w:val="004819A5"/>
    <w:rsid w:val="00484B35"/>
    <w:rsid w:val="00485072"/>
    <w:rsid w:val="004912A5"/>
    <w:rsid w:val="004966D8"/>
    <w:rsid w:val="00496B38"/>
    <w:rsid w:val="00497BC2"/>
    <w:rsid w:val="004B735A"/>
    <w:rsid w:val="004B7CD5"/>
    <w:rsid w:val="004C00AF"/>
    <w:rsid w:val="004D40C9"/>
    <w:rsid w:val="004E0E80"/>
    <w:rsid w:val="004E29A8"/>
    <w:rsid w:val="004F23B9"/>
    <w:rsid w:val="00504A85"/>
    <w:rsid w:val="0051329E"/>
    <w:rsid w:val="00520107"/>
    <w:rsid w:val="00527E78"/>
    <w:rsid w:val="00533A0A"/>
    <w:rsid w:val="00534853"/>
    <w:rsid w:val="00534885"/>
    <w:rsid w:val="00546996"/>
    <w:rsid w:val="00547734"/>
    <w:rsid w:val="0055270C"/>
    <w:rsid w:val="00555C2C"/>
    <w:rsid w:val="0055601B"/>
    <w:rsid w:val="00557A31"/>
    <w:rsid w:val="00564C4E"/>
    <w:rsid w:val="00565AC4"/>
    <w:rsid w:val="00576A4B"/>
    <w:rsid w:val="00577CDB"/>
    <w:rsid w:val="00582B81"/>
    <w:rsid w:val="00590BD4"/>
    <w:rsid w:val="0059312D"/>
    <w:rsid w:val="005B3BD5"/>
    <w:rsid w:val="005B5A97"/>
    <w:rsid w:val="005C42CC"/>
    <w:rsid w:val="005C4DAC"/>
    <w:rsid w:val="005E0B0C"/>
    <w:rsid w:val="005E2C7A"/>
    <w:rsid w:val="005F3C05"/>
    <w:rsid w:val="005F7755"/>
    <w:rsid w:val="00601324"/>
    <w:rsid w:val="0060628E"/>
    <w:rsid w:val="0062432B"/>
    <w:rsid w:val="00626ECC"/>
    <w:rsid w:val="00643F64"/>
    <w:rsid w:val="006442CB"/>
    <w:rsid w:val="00645BCD"/>
    <w:rsid w:val="00647565"/>
    <w:rsid w:val="00650333"/>
    <w:rsid w:val="00650B03"/>
    <w:rsid w:val="00653633"/>
    <w:rsid w:val="00655ACA"/>
    <w:rsid w:val="00656EB6"/>
    <w:rsid w:val="00657042"/>
    <w:rsid w:val="00660D36"/>
    <w:rsid w:val="00661E30"/>
    <w:rsid w:val="00662DC9"/>
    <w:rsid w:val="00664516"/>
    <w:rsid w:val="0067145E"/>
    <w:rsid w:val="006731C0"/>
    <w:rsid w:val="00675A8A"/>
    <w:rsid w:val="00676CB1"/>
    <w:rsid w:val="00676CBA"/>
    <w:rsid w:val="0067734C"/>
    <w:rsid w:val="006820D0"/>
    <w:rsid w:val="00684564"/>
    <w:rsid w:val="006868C4"/>
    <w:rsid w:val="006901E7"/>
    <w:rsid w:val="006946CA"/>
    <w:rsid w:val="00694B9A"/>
    <w:rsid w:val="00695CA7"/>
    <w:rsid w:val="006A15C0"/>
    <w:rsid w:val="006A4D2E"/>
    <w:rsid w:val="006B3DBD"/>
    <w:rsid w:val="006C005A"/>
    <w:rsid w:val="006C58EC"/>
    <w:rsid w:val="006D04AC"/>
    <w:rsid w:val="006D12DA"/>
    <w:rsid w:val="006D1692"/>
    <w:rsid w:val="006D558E"/>
    <w:rsid w:val="006D7EC9"/>
    <w:rsid w:val="006E39B2"/>
    <w:rsid w:val="006E7E09"/>
    <w:rsid w:val="007103E9"/>
    <w:rsid w:val="007242A5"/>
    <w:rsid w:val="0073038D"/>
    <w:rsid w:val="00736499"/>
    <w:rsid w:val="00741D9E"/>
    <w:rsid w:val="00742371"/>
    <w:rsid w:val="00753C31"/>
    <w:rsid w:val="00760FB8"/>
    <w:rsid w:val="007674B4"/>
    <w:rsid w:val="007701FB"/>
    <w:rsid w:val="00774B26"/>
    <w:rsid w:val="00784AEF"/>
    <w:rsid w:val="0079020A"/>
    <w:rsid w:val="0079554E"/>
    <w:rsid w:val="00796516"/>
    <w:rsid w:val="007979C6"/>
    <w:rsid w:val="007A0709"/>
    <w:rsid w:val="007B3B82"/>
    <w:rsid w:val="007C593E"/>
    <w:rsid w:val="007C5FD0"/>
    <w:rsid w:val="007D09D2"/>
    <w:rsid w:val="007D5373"/>
    <w:rsid w:val="007D61DD"/>
    <w:rsid w:val="007E2EA8"/>
    <w:rsid w:val="007E316E"/>
    <w:rsid w:val="007E58BC"/>
    <w:rsid w:val="007F0E12"/>
    <w:rsid w:val="007F1704"/>
    <w:rsid w:val="007F54D7"/>
    <w:rsid w:val="00800C3B"/>
    <w:rsid w:val="00804CAC"/>
    <w:rsid w:val="0083285F"/>
    <w:rsid w:val="008462A7"/>
    <w:rsid w:val="0085269F"/>
    <w:rsid w:val="00852EB8"/>
    <w:rsid w:val="00856FB7"/>
    <w:rsid w:val="00857013"/>
    <w:rsid w:val="00880DCC"/>
    <w:rsid w:val="00892B09"/>
    <w:rsid w:val="00896BF8"/>
    <w:rsid w:val="008A533F"/>
    <w:rsid w:val="008A77AB"/>
    <w:rsid w:val="008B76C9"/>
    <w:rsid w:val="008C389F"/>
    <w:rsid w:val="008C38F7"/>
    <w:rsid w:val="008C5EA5"/>
    <w:rsid w:val="008C6B57"/>
    <w:rsid w:val="008D76C2"/>
    <w:rsid w:val="008E078A"/>
    <w:rsid w:val="008E47D8"/>
    <w:rsid w:val="008E7ABB"/>
    <w:rsid w:val="008F0C2B"/>
    <w:rsid w:val="008F4EBD"/>
    <w:rsid w:val="00907E23"/>
    <w:rsid w:val="00914D30"/>
    <w:rsid w:val="0091770E"/>
    <w:rsid w:val="00921BA5"/>
    <w:rsid w:val="009358F2"/>
    <w:rsid w:val="009360C6"/>
    <w:rsid w:val="00946516"/>
    <w:rsid w:val="009502FA"/>
    <w:rsid w:val="0095228F"/>
    <w:rsid w:val="00954098"/>
    <w:rsid w:val="00961B84"/>
    <w:rsid w:val="00965037"/>
    <w:rsid w:val="009670D2"/>
    <w:rsid w:val="00970780"/>
    <w:rsid w:val="00973394"/>
    <w:rsid w:val="00976485"/>
    <w:rsid w:val="00976C99"/>
    <w:rsid w:val="0098387E"/>
    <w:rsid w:val="00983E7F"/>
    <w:rsid w:val="00987183"/>
    <w:rsid w:val="009B3CA0"/>
    <w:rsid w:val="009C15E7"/>
    <w:rsid w:val="009C57BB"/>
    <w:rsid w:val="009D3F00"/>
    <w:rsid w:val="009D5A5D"/>
    <w:rsid w:val="009E6EE3"/>
    <w:rsid w:val="009F4ED1"/>
    <w:rsid w:val="009F7121"/>
    <w:rsid w:val="00A02D5C"/>
    <w:rsid w:val="00A13477"/>
    <w:rsid w:val="00A140F5"/>
    <w:rsid w:val="00A16D4A"/>
    <w:rsid w:val="00A171BA"/>
    <w:rsid w:val="00A24E16"/>
    <w:rsid w:val="00A259B0"/>
    <w:rsid w:val="00A26868"/>
    <w:rsid w:val="00A37C3A"/>
    <w:rsid w:val="00A416DB"/>
    <w:rsid w:val="00A41A2E"/>
    <w:rsid w:val="00A622B3"/>
    <w:rsid w:val="00A64860"/>
    <w:rsid w:val="00A67FC3"/>
    <w:rsid w:val="00A7207A"/>
    <w:rsid w:val="00A77E32"/>
    <w:rsid w:val="00A814A6"/>
    <w:rsid w:val="00AA1D9E"/>
    <w:rsid w:val="00AA3E27"/>
    <w:rsid w:val="00AB7496"/>
    <w:rsid w:val="00AD69B7"/>
    <w:rsid w:val="00AE10C5"/>
    <w:rsid w:val="00AE5181"/>
    <w:rsid w:val="00AF2CDC"/>
    <w:rsid w:val="00AF3264"/>
    <w:rsid w:val="00B0543B"/>
    <w:rsid w:val="00B05E57"/>
    <w:rsid w:val="00B065A4"/>
    <w:rsid w:val="00B074CC"/>
    <w:rsid w:val="00B12224"/>
    <w:rsid w:val="00B37597"/>
    <w:rsid w:val="00B40DA2"/>
    <w:rsid w:val="00B44574"/>
    <w:rsid w:val="00B51398"/>
    <w:rsid w:val="00B6247A"/>
    <w:rsid w:val="00B625FF"/>
    <w:rsid w:val="00B62B11"/>
    <w:rsid w:val="00B76FA9"/>
    <w:rsid w:val="00B80BD4"/>
    <w:rsid w:val="00B80EB5"/>
    <w:rsid w:val="00B91F63"/>
    <w:rsid w:val="00B95E2B"/>
    <w:rsid w:val="00BA480B"/>
    <w:rsid w:val="00BA7B95"/>
    <w:rsid w:val="00BB1545"/>
    <w:rsid w:val="00BB4005"/>
    <w:rsid w:val="00BB41D0"/>
    <w:rsid w:val="00BB7EF1"/>
    <w:rsid w:val="00BD1F11"/>
    <w:rsid w:val="00BD35DB"/>
    <w:rsid w:val="00BD36DD"/>
    <w:rsid w:val="00BD4B0D"/>
    <w:rsid w:val="00BD53F2"/>
    <w:rsid w:val="00BD5425"/>
    <w:rsid w:val="00BE603C"/>
    <w:rsid w:val="00BF1C1B"/>
    <w:rsid w:val="00BF4337"/>
    <w:rsid w:val="00BF4E87"/>
    <w:rsid w:val="00C0235C"/>
    <w:rsid w:val="00C029F4"/>
    <w:rsid w:val="00C22ABF"/>
    <w:rsid w:val="00C22CB5"/>
    <w:rsid w:val="00C31123"/>
    <w:rsid w:val="00C35634"/>
    <w:rsid w:val="00C434E7"/>
    <w:rsid w:val="00C451F4"/>
    <w:rsid w:val="00C455F8"/>
    <w:rsid w:val="00C478B1"/>
    <w:rsid w:val="00C719EA"/>
    <w:rsid w:val="00C74C2A"/>
    <w:rsid w:val="00C74D47"/>
    <w:rsid w:val="00C80107"/>
    <w:rsid w:val="00C80D3D"/>
    <w:rsid w:val="00C80F8B"/>
    <w:rsid w:val="00C84C0D"/>
    <w:rsid w:val="00C87DB4"/>
    <w:rsid w:val="00C91810"/>
    <w:rsid w:val="00CA1DA1"/>
    <w:rsid w:val="00CA2F4A"/>
    <w:rsid w:val="00CA602C"/>
    <w:rsid w:val="00CB2EC3"/>
    <w:rsid w:val="00CD1747"/>
    <w:rsid w:val="00CE3ECA"/>
    <w:rsid w:val="00CE6D4F"/>
    <w:rsid w:val="00CF2701"/>
    <w:rsid w:val="00CF2AC0"/>
    <w:rsid w:val="00CF3718"/>
    <w:rsid w:val="00CF627E"/>
    <w:rsid w:val="00D05BAD"/>
    <w:rsid w:val="00D17F3C"/>
    <w:rsid w:val="00D23E92"/>
    <w:rsid w:val="00D278FF"/>
    <w:rsid w:val="00D5301C"/>
    <w:rsid w:val="00D62ACA"/>
    <w:rsid w:val="00D63AF9"/>
    <w:rsid w:val="00D65DBF"/>
    <w:rsid w:val="00D72438"/>
    <w:rsid w:val="00D74028"/>
    <w:rsid w:val="00D8122C"/>
    <w:rsid w:val="00D871EC"/>
    <w:rsid w:val="00DA1C04"/>
    <w:rsid w:val="00DA64B0"/>
    <w:rsid w:val="00DB09EE"/>
    <w:rsid w:val="00DB2210"/>
    <w:rsid w:val="00DB6F0D"/>
    <w:rsid w:val="00DB7587"/>
    <w:rsid w:val="00DB7C49"/>
    <w:rsid w:val="00DC141E"/>
    <w:rsid w:val="00DC168A"/>
    <w:rsid w:val="00DC7683"/>
    <w:rsid w:val="00DD284F"/>
    <w:rsid w:val="00DE2740"/>
    <w:rsid w:val="00DE4C6B"/>
    <w:rsid w:val="00DE58AB"/>
    <w:rsid w:val="00E04EB7"/>
    <w:rsid w:val="00E13E84"/>
    <w:rsid w:val="00E172AF"/>
    <w:rsid w:val="00E20C22"/>
    <w:rsid w:val="00E3046F"/>
    <w:rsid w:val="00E30527"/>
    <w:rsid w:val="00E32DDD"/>
    <w:rsid w:val="00E40A31"/>
    <w:rsid w:val="00E51D91"/>
    <w:rsid w:val="00E62BAE"/>
    <w:rsid w:val="00E86947"/>
    <w:rsid w:val="00EA1A13"/>
    <w:rsid w:val="00EA6ED4"/>
    <w:rsid w:val="00EB11E2"/>
    <w:rsid w:val="00EC726C"/>
    <w:rsid w:val="00ED0162"/>
    <w:rsid w:val="00ED3B01"/>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3871"/>
    <w:rsid w:val="00F443AD"/>
    <w:rsid w:val="00F449B8"/>
    <w:rsid w:val="00F465E8"/>
    <w:rsid w:val="00F54631"/>
    <w:rsid w:val="00F55083"/>
    <w:rsid w:val="00F555B3"/>
    <w:rsid w:val="00F557E8"/>
    <w:rsid w:val="00F57D1A"/>
    <w:rsid w:val="00F60DE9"/>
    <w:rsid w:val="00F64F77"/>
    <w:rsid w:val="00F84E4F"/>
    <w:rsid w:val="00F91845"/>
    <w:rsid w:val="00F920D6"/>
    <w:rsid w:val="00F92589"/>
    <w:rsid w:val="00F94D7C"/>
    <w:rsid w:val="00FA65E0"/>
    <w:rsid w:val="00FB2567"/>
    <w:rsid w:val="00FB6697"/>
    <w:rsid w:val="00FC047F"/>
    <w:rsid w:val="00FC2DDD"/>
    <w:rsid w:val="00FC3584"/>
    <w:rsid w:val="00FD0401"/>
    <w:rsid w:val="00FD13BE"/>
    <w:rsid w:val="00FD5049"/>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B809EFEB-3D07-4E58-AC47-ED39EEF7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DAE698-EF4D-4823-8E88-A71EEC83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800</Words>
  <Characters>4564</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27</cp:revision>
  <cp:lastPrinted>2017-09-04T08:41:00Z</cp:lastPrinted>
  <dcterms:created xsi:type="dcterms:W3CDTF">2017-08-04T08:33:00Z</dcterms:created>
  <dcterms:modified xsi:type="dcterms:W3CDTF">2017-09-04T08:41:00Z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