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459F0" w14:textId="77777777" w:rsidR="00AA09DF" w:rsidRPr="004623AF" w:rsidRDefault="00AA09DF" w:rsidP="006C315D">
      <w:pPr>
        <w:pStyle w:val="Hlavika"/>
        <w:tabs>
          <w:tab w:val="left" w:pos="12474"/>
        </w:tabs>
        <w:jc w:val="right"/>
        <w:rPr>
          <w:rFonts w:ascii="Times New Roman" w:hAnsi="Times New Roman" w:cs="Times New Roman"/>
        </w:rPr>
      </w:pPr>
      <w:r w:rsidRPr="004623AF">
        <w:rPr>
          <w:rFonts w:ascii="Times New Roman" w:hAnsi="Times New Roman" w:cs="Times New Roman"/>
        </w:rPr>
        <w:t xml:space="preserve">Príloha č. </w:t>
      </w:r>
      <w:r w:rsidR="00C16F8E" w:rsidRPr="004623AF">
        <w:rPr>
          <w:rFonts w:ascii="Times New Roman" w:hAnsi="Times New Roman" w:cs="Times New Roman"/>
        </w:rPr>
        <w:t>3</w:t>
      </w:r>
      <w:r w:rsidR="00A003D8" w:rsidRPr="004623AF">
        <w:rPr>
          <w:rFonts w:ascii="Times New Roman" w:hAnsi="Times New Roman" w:cs="Times New Roman"/>
        </w:rPr>
        <w:t xml:space="preserve"> </w:t>
      </w:r>
      <w:r w:rsidR="00CB4D9B" w:rsidRPr="004623AF">
        <w:rPr>
          <w:rFonts w:ascii="Times New Roman" w:hAnsi="Times New Roman" w:cs="Times New Roman"/>
        </w:rPr>
        <w:t> vyzvania</w:t>
      </w:r>
    </w:p>
    <w:tbl>
      <w:tblPr>
        <w:tblpPr w:leftFromText="141" w:rightFromText="141" w:tblpX="-72" w:tblpY="626"/>
        <w:tblW w:w="14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3969"/>
        <w:gridCol w:w="2268"/>
        <w:gridCol w:w="1843"/>
        <w:gridCol w:w="966"/>
        <w:gridCol w:w="1698"/>
      </w:tblGrid>
      <w:tr w:rsidR="00AA09DF" w:rsidRPr="002D0719" w14:paraId="1BC459F2" w14:textId="77777777" w:rsidTr="00062560">
        <w:trPr>
          <w:trHeight w:val="369"/>
        </w:trPr>
        <w:tc>
          <w:tcPr>
            <w:tcW w:w="14216" w:type="dxa"/>
            <w:gridSpan w:val="7"/>
          </w:tcPr>
          <w:p w14:paraId="1BC459F1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Zoznam merateľných ukazovateľov</w:t>
            </w:r>
          </w:p>
        </w:tc>
      </w:tr>
      <w:tr w:rsidR="00AA09DF" w:rsidRPr="002D0719" w14:paraId="1BC459F5" w14:textId="77777777" w:rsidTr="00C16F8E">
        <w:trPr>
          <w:trHeight w:val="404"/>
        </w:trPr>
        <w:tc>
          <w:tcPr>
            <w:tcW w:w="1488" w:type="dxa"/>
          </w:tcPr>
          <w:p w14:paraId="1BC459F3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 xml:space="preserve">Operačný program </w:t>
            </w:r>
          </w:p>
        </w:tc>
        <w:tc>
          <w:tcPr>
            <w:tcW w:w="12728" w:type="dxa"/>
            <w:gridSpan w:val="6"/>
          </w:tcPr>
          <w:p w14:paraId="1BC459F4" w14:textId="4D04FC01" w:rsidR="00AA09DF" w:rsidRPr="002D0719" w:rsidRDefault="00AA09DF" w:rsidP="00596FC9">
            <w:pPr>
              <w:tabs>
                <w:tab w:val="left" w:pos="4871"/>
              </w:tabs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Efektívna verejná správa</w:t>
            </w:r>
            <w:r w:rsidR="00596FC9">
              <w:rPr>
                <w:rFonts w:ascii="Times New Roman" w:hAnsi="Times New Roman" w:cs="Times New Roman"/>
              </w:rPr>
              <w:tab/>
            </w:r>
          </w:p>
        </w:tc>
      </w:tr>
      <w:tr w:rsidR="00AA09DF" w:rsidRPr="002D0719" w14:paraId="1BC459F8" w14:textId="77777777" w:rsidTr="00C16F8E">
        <w:trPr>
          <w:trHeight w:val="311"/>
        </w:trPr>
        <w:tc>
          <w:tcPr>
            <w:tcW w:w="1488" w:type="dxa"/>
            <w:tcBorders>
              <w:bottom w:val="single" w:sz="4" w:space="0" w:color="auto"/>
            </w:tcBorders>
          </w:tcPr>
          <w:p w14:paraId="1BC459F6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Prioritná os</w:t>
            </w:r>
          </w:p>
        </w:tc>
        <w:tc>
          <w:tcPr>
            <w:tcW w:w="12728" w:type="dxa"/>
            <w:gridSpan w:val="6"/>
            <w:tcBorders>
              <w:bottom w:val="single" w:sz="4" w:space="0" w:color="auto"/>
            </w:tcBorders>
          </w:tcPr>
          <w:p w14:paraId="1BC459F7" w14:textId="274C8CBA" w:rsidR="00AA09DF" w:rsidRPr="002D0719" w:rsidRDefault="008749B7" w:rsidP="00874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003D8" w:rsidRPr="002D07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Zefektívnený súdny systém a zvýšená vymáhateľnosť práva</w:t>
            </w:r>
          </w:p>
        </w:tc>
      </w:tr>
      <w:tr w:rsidR="00AA09DF" w:rsidRPr="002D0719" w14:paraId="1BC459FB" w14:textId="77777777" w:rsidTr="00C16F8E">
        <w:trPr>
          <w:trHeight w:val="569"/>
        </w:trPr>
        <w:tc>
          <w:tcPr>
            <w:tcW w:w="1488" w:type="dxa"/>
            <w:tcBorders>
              <w:bottom w:val="single" w:sz="4" w:space="0" w:color="auto"/>
            </w:tcBorders>
          </w:tcPr>
          <w:p w14:paraId="1BC459F9" w14:textId="77777777" w:rsidR="00AA09DF" w:rsidRPr="002D0719" w:rsidRDefault="00AA09DF" w:rsidP="00062560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Špecifický cieľ</w:t>
            </w:r>
          </w:p>
        </w:tc>
        <w:tc>
          <w:tcPr>
            <w:tcW w:w="12728" w:type="dxa"/>
            <w:gridSpan w:val="6"/>
            <w:tcBorders>
              <w:bottom w:val="single" w:sz="4" w:space="0" w:color="auto"/>
            </w:tcBorders>
          </w:tcPr>
          <w:p w14:paraId="1BC459FA" w14:textId="5EEF73DF" w:rsidR="00AA09DF" w:rsidRPr="002D0719" w:rsidRDefault="008749B7" w:rsidP="00225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003D8" w:rsidRPr="00B75067">
              <w:rPr>
                <w:rFonts w:ascii="Times New Roman" w:hAnsi="Times New Roman" w:cs="Times New Roman"/>
                <w:b/>
              </w:rPr>
              <w:t>.</w:t>
            </w:r>
            <w:r w:rsidR="00CE46B2">
              <w:rPr>
                <w:rFonts w:ascii="Times New Roman" w:hAnsi="Times New Roman" w:cs="Times New Roman"/>
                <w:b/>
              </w:rPr>
              <w:t>1</w:t>
            </w:r>
            <w:r w:rsidR="00C578A3">
              <w:t xml:space="preserve"> </w:t>
            </w:r>
            <w:r w:rsidR="00225720">
              <w:rPr>
                <w:rFonts w:ascii="Times New Roman" w:hAnsi="Times New Roman" w:cs="Times New Roman"/>
              </w:rPr>
              <w:t>Z</w:t>
            </w:r>
            <w:r w:rsidR="00225720">
              <w:rPr>
                <w:rFonts w:ascii="Times New Roman" w:hAnsi="Times New Roman" w:cs="Times New Roman"/>
              </w:rPr>
              <w:t>vý</w:t>
            </w:r>
            <w:bookmarkStart w:id="0" w:name="_GoBack"/>
            <w:bookmarkEnd w:id="0"/>
            <w:r w:rsidR="00225720">
              <w:rPr>
                <w:rFonts w:ascii="Times New Roman" w:hAnsi="Times New Roman" w:cs="Times New Roman"/>
              </w:rPr>
              <w:t xml:space="preserve">šená </w:t>
            </w:r>
            <w:r w:rsidR="00CE46B2">
              <w:rPr>
                <w:rFonts w:ascii="Times New Roman" w:hAnsi="Times New Roman" w:cs="Times New Roman"/>
              </w:rPr>
              <w:t>efektívnosť</w:t>
            </w:r>
            <w:r>
              <w:rPr>
                <w:rFonts w:ascii="Times New Roman" w:hAnsi="Times New Roman" w:cs="Times New Roman"/>
              </w:rPr>
              <w:t xml:space="preserve"> súdneho systému</w:t>
            </w:r>
          </w:p>
        </w:tc>
      </w:tr>
      <w:tr w:rsidR="0027362A" w:rsidRPr="002D0719" w14:paraId="245B75FF" w14:textId="77777777" w:rsidTr="00C16F8E">
        <w:trPr>
          <w:trHeight w:val="569"/>
        </w:trPr>
        <w:tc>
          <w:tcPr>
            <w:tcW w:w="1488" w:type="dxa"/>
            <w:tcBorders>
              <w:top w:val="single" w:sz="4" w:space="0" w:color="auto"/>
            </w:tcBorders>
          </w:tcPr>
          <w:p w14:paraId="16C50FD4" w14:textId="2F155855" w:rsidR="0027362A" w:rsidRPr="002D0719" w:rsidRDefault="0027362A" w:rsidP="00273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 aktivity</w:t>
            </w:r>
          </w:p>
        </w:tc>
        <w:tc>
          <w:tcPr>
            <w:tcW w:w="12728" w:type="dxa"/>
            <w:gridSpan w:val="6"/>
            <w:tcBorders>
              <w:top w:val="single" w:sz="4" w:space="0" w:color="auto"/>
            </w:tcBorders>
          </w:tcPr>
          <w:p w14:paraId="20FCFBFA" w14:textId="6B55C500" w:rsidR="0027362A" w:rsidRPr="002D0719" w:rsidRDefault="00C57B69" w:rsidP="007A76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Reforma štruktúry a optimalizácia procesov v súdnictve</w:t>
            </w:r>
          </w:p>
        </w:tc>
      </w:tr>
      <w:tr w:rsidR="00D82601" w:rsidRPr="002D0719" w14:paraId="1BC45A09" w14:textId="77777777" w:rsidTr="00C16F8E">
        <w:trPr>
          <w:trHeight w:val="688"/>
        </w:trPr>
        <w:tc>
          <w:tcPr>
            <w:tcW w:w="1488" w:type="dxa"/>
          </w:tcPr>
          <w:p w14:paraId="1BC45A02" w14:textId="5FF543F6" w:rsidR="00D82601" w:rsidRPr="002D0719" w:rsidRDefault="00C16F8E" w:rsidP="00D8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Kód </w:t>
            </w:r>
            <w:r w:rsidRPr="002D0719">
              <w:rPr>
                <w:rFonts w:ascii="Times New Roman" w:hAnsi="Times New Roman" w:cs="Times New Roman"/>
              </w:rPr>
              <w:t xml:space="preserve"> ukazovateľa</w:t>
            </w:r>
          </w:p>
        </w:tc>
        <w:tc>
          <w:tcPr>
            <w:tcW w:w="1984" w:type="dxa"/>
          </w:tcPr>
          <w:p w14:paraId="1BC45A03" w14:textId="51EA8BDC" w:rsidR="00D82601" w:rsidRPr="002D0719" w:rsidRDefault="00C16F8E" w:rsidP="001F34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D82601" w:rsidRPr="002D0719">
              <w:rPr>
                <w:rFonts w:ascii="Times New Roman" w:hAnsi="Times New Roman" w:cs="Times New Roman"/>
              </w:rPr>
              <w:t>ázov</w:t>
            </w:r>
            <w:r w:rsidR="00D82601">
              <w:rPr>
                <w:rFonts w:ascii="Times New Roman" w:hAnsi="Times New Roman" w:cs="Times New Roman"/>
              </w:rPr>
              <w:t xml:space="preserve"> </w:t>
            </w:r>
            <w:r w:rsidR="00D82601" w:rsidRPr="002D0719">
              <w:rPr>
                <w:rFonts w:ascii="Times New Roman" w:hAnsi="Times New Roman" w:cs="Times New Roman"/>
              </w:rPr>
              <w:t>ukazovateľa</w:t>
            </w:r>
          </w:p>
        </w:tc>
        <w:tc>
          <w:tcPr>
            <w:tcW w:w="3969" w:type="dxa"/>
          </w:tcPr>
          <w:p w14:paraId="1BC45A04" w14:textId="66B91316" w:rsidR="00D82601" w:rsidRPr="002D0719" w:rsidRDefault="00100883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Definícia/metóda výpočtu</w:t>
            </w:r>
            <w:r>
              <w:rPr>
                <w:rFonts w:ascii="Times New Roman" w:hAnsi="Times New Roman" w:cs="Times New Roman"/>
              </w:rPr>
              <w:t>/merná jednotka (počet podľa definície ukazovateľa)</w:t>
            </w:r>
          </w:p>
        </w:tc>
        <w:tc>
          <w:tcPr>
            <w:tcW w:w="2268" w:type="dxa"/>
          </w:tcPr>
          <w:p w14:paraId="1BC45A05" w14:textId="48B01A15" w:rsidR="00D82601" w:rsidRPr="002D0719" w:rsidRDefault="00100883" w:rsidP="00D826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D82601">
              <w:rPr>
                <w:rFonts w:ascii="Times New Roman" w:hAnsi="Times New Roman" w:cs="Times New Roman"/>
              </w:rPr>
              <w:t xml:space="preserve">lánovaná hodnota </w:t>
            </w:r>
          </w:p>
        </w:tc>
        <w:tc>
          <w:tcPr>
            <w:tcW w:w="1843" w:type="dxa"/>
          </w:tcPr>
          <w:p w14:paraId="1BC45A06" w14:textId="77777777" w:rsidR="00D82601" w:rsidRPr="002D0719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Čas plnenia</w:t>
            </w:r>
          </w:p>
        </w:tc>
        <w:tc>
          <w:tcPr>
            <w:tcW w:w="966" w:type="dxa"/>
          </w:tcPr>
          <w:p w14:paraId="1BC45A07" w14:textId="77777777" w:rsidR="00D82601" w:rsidRPr="002D0719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Príznak rizika</w:t>
            </w:r>
          </w:p>
        </w:tc>
        <w:tc>
          <w:tcPr>
            <w:tcW w:w="1698" w:type="dxa"/>
          </w:tcPr>
          <w:p w14:paraId="1BC45A08" w14:textId="77777777" w:rsidR="00D82601" w:rsidRPr="002D0719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Relevancia k HP</w:t>
            </w:r>
          </w:p>
        </w:tc>
      </w:tr>
      <w:tr w:rsidR="00D82601" w:rsidRPr="002D0719" w14:paraId="2D9A3AE2" w14:textId="77777777" w:rsidTr="00C16F8E">
        <w:trPr>
          <w:trHeight w:val="984"/>
        </w:trPr>
        <w:tc>
          <w:tcPr>
            <w:tcW w:w="1488" w:type="dxa"/>
          </w:tcPr>
          <w:p w14:paraId="0F34D057" w14:textId="035D16CE" w:rsidR="00D82601" w:rsidRPr="000D3DF2" w:rsidRDefault="00D82601" w:rsidP="00C16F8E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    </w:t>
            </w:r>
            <w:r w:rsidR="00C16F8E" w:rsidRPr="00C16F8E">
              <w:rPr>
                <w:rFonts w:ascii="Times New Roman" w:hAnsi="Times New Roman" w:cs="Times New Roman"/>
              </w:rPr>
              <w:t>P0178</w:t>
            </w:r>
          </w:p>
        </w:tc>
        <w:tc>
          <w:tcPr>
            <w:tcW w:w="1984" w:type="dxa"/>
          </w:tcPr>
          <w:p w14:paraId="782943C9" w14:textId="31FE4A11" w:rsidR="00D82601" w:rsidRPr="000D3DF2" w:rsidRDefault="00D82601" w:rsidP="00D8260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Počet koncepčných, analytických a metodických materiálov</w:t>
            </w:r>
          </w:p>
        </w:tc>
        <w:tc>
          <w:tcPr>
            <w:tcW w:w="3969" w:type="dxa"/>
          </w:tcPr>
          <w:p w14:paraId="25C6AFBF" w14:textId="77777777" w:rsidR="00D82601" w:rsidRPr="002D0719" w:rsidRDefault="00D82601" w:rsidP="00D82601">
            <w:pPr>
              <w:rPr>
                <w:rFonts w:ascii="Times New Roman" w:hAnsi="Times New Roman" w:cs="Times New Roman"/>
                <w:color w:val="000000"/>
              </w:rPr>
            </w:pPr>
            <w:r w:rsidRPr="002D0719">
              <w:rPr>
                <w:rFonts w:ascii="Times New Roman" w:hAnsi="Times New Roman" w:cs="Times New Roman"/>
                <w:color w:val="000000"/>
              </w:rPr>
              <w:t xml:space="preserve">Celkový počet koncepčných, analytických a metodických materiálov vypracovaných prostredníctvom zrealizovaných projektov. </w:t>
            </w:r>
          </w:p>
          <w:p w14:paraId="621A8056" w14:textId="77777777" w:rsidR="00D82601" w:rsidRPr="000D3DF2" w:rsidRDefault="00D82601" w:rsidP="00D826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2DBA4912" w14:textId="4CDFA783" w:rsidR="00D82601" w:rsidRDefault="00D82601" w:rsidP="00024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920B9B" w14:textId="7BAF81EC" w:rsidR="00D82601" w:rsidRPr="002D0719" w:rsidRDefault="00D82601" w:rsidP="003F70EC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 dátumu ukončenia realizácie aktivít projektu</w:t>
            </w:r>
          </w:p>
        </w:tc>
        <w:tc>
          <w:tcPr>
            <w:tcW w:w="966" w:type="dxa"/>
          </w:tcPr>
          <w:p w14:paraId="23D431DF" w14:textId="3E7FBAB1" w:rsidR="00D82601" w:rsidRPr="002D0719" w:rsidRDefault="00A21F3B" w:rsidP="00D82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  <w:r w:rsidR="000234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8" w:type="dxa"/>
          </w:tcPr>
          <w:p w14:paraId="1E89F575" w14:textId="4F4A37D7" w:rsidR="00D82601" w:rsidRPr="002D0719" w:rsidRDefault="00D82601" w:rsidP="00D82601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7A7625" w:rsidRPr="002D0719" w14:paraId="27B6AFCD" w14:textId="77777777" w:rsidTr="00C16F8E">
        <w:trPr>
          <w:trHeight w:val="984"/>
        </w:trPr>
        <w:tc>
          <w:tcPr>
            <w:tcW w:w="1488" w:type="dxa"/>
          </w:tcPr>
          <w:p w14:paraId="1FB52624" w14:textId="219D4B4A" w:rsidR="007A7625" w:rsidRDefault="007A7625" w:rsidP="007A7625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P0587</w:t>
            </w:r>
          </w:p>
        </w:tc>
        <w:tc>
          <w:tcPr>
            <w:tcW w:w="1984" w:type="dxa"/>
          </w:tcPr>
          <w:p w14:paraId="0384F312" w14:textId="2A5E2B3A" w:rsidR="007A7625" w:rsidRPr="002D0719" w:rsidRDefault="007A7625" w:rsidP="007A7625">
            <w:pPr>
              <w:rPr>
                <w:rFonts w:ascii="Times New Roman" w:hAnsi="Times New Roman" w:cs="Times New Roman"/>
              </w:rPr>
            </w:pPr>
            <w:r w:rsidRPr="008749B7">
              <w:rPr>
                <w:rFonts w:ascii="Times New Roman" w:hAnsi="Times New Roman" w:cs="Times New Roman"/>
              </w:rPr>
              <w:t>Počet zrealizovaných hodnotení, analýz a štúdií</w:t>
            </w:r>
          </w:p>
        </w:tc>
        <w:tc>
          <w:tcPr>
            <w:tcW w:w="3969" w:type="dxa"/>
          </w:tcPr>
          <w:p w14:paraId="1E6DB1AA" w14:textId="79AD25A3" w:rsidR="007A7625" w:rsidRPr="002D0719" w:rsidRDefault="007A7625" w:rsidP="007A7625">
            <w:pPr>
              <w:rPr>
                <w:rFonts w:ascii="Times New Roman" w:hAnsi="Times New Roman" w:cs="Times New Roman"/>
                <w:color w:val="000000"/>
              </w:rPr>
            </w:pPr>
            <w:r w:rsidRPr="00894C0E">
              <w:rPr>
                <w:rFonts w:ascii="Times New Roman" w:hAnsi="Times New Roman" w:cs="Times New Roman"/>
              </w:rPr>
              <w:t>Počet všetkých zrealizovaných  materiálov (napr. hodnotenia, štúdie, posudky, analýzy a pod.) Ukazovateľ sleduje oblasť hodnotení, štúdii, posudkov, analýz a pod. vypracovaných v rámci OP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71457C1B" w14:textId="3B2A363D" w:rsidR="007A7625" w:rsidRDefault="007A7625" w:rsidP="007A7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1B6FE3D" w14:textId="7AE4E61E" w:rsidR="007A7625" w:rsidRPr="002D0719" w:rsidRDefault="007A7625" w:rsidP="007A7625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 dátumu ukončenia realizácie aktivít projektu</w:t>
            </w:r>
          </w:p>
        </w:tc>
        <w:tc>
          <w:tcPr>
            <w:tcW w:w="966" w:type="dxa"/>
          </w:tcPr>
          <w:p w14:paraId="34442953" w14:textId="36E0C71D" w:rsidR="007A7625" w:rsidRDefault="00A21F3B" w:rsidP="007A76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1698" w:type="dxa"/>
          </w:tcPr>
          <w:p w14:paraId="35F233B6" w14:textId="20A6D1DC" w:rsidR="007A7625" w:rsidRPr="002D0719" w:rsidRDefault="007A7625" w:rsidP="00A21F3B">
            <w:pPr>
              <w:pStyle w:val="Odsekzoznamu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7A7625" w:rsidRPr="002D0719" w14:paraId="0869E347" w14:textId="77777777" w:rsidTr="006D0167">
        <w:trPr>
          <w:trHeight w:val="1585"/>
        </w:trPr>
        <w:tc>
          <w:tcPr>
            <w:tcW w:w="1488" w:type="dxa"/>
          </w:tcPr>
          <w:p w14:paraId="659F3F8A" w14:textId="0332FB1C" w:rsidR="007A7625" w:rsidRDefault="007A7625" w:rsidP="007A7625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P0723</w:t>
            </w:r>
          </w:p>
        </w:tc>
        <w:tc>
          <w:tcPr>
            <w:tcW w:w="1984" w:type="dxa"/>
          </w:tcPr>
          <w:p w14:paraId="4B52FC46" w14:textId="49A4E883" w:rsidR="007A7625" w:rsidRPr="006D0167" w:rsidRDefault="007A7625" w:rsidP="007A7625">
            <w:pPr>
              <w:rPr>
                <w:rFonts w:ascii="Times New Roman" w:hAnsi="Times New Roman" w:cs="Times New Roman"/>
              </w:rPr>
            </w:pPr>
            <w:r w:rsidRPr="00CE46B2">
              <w:rPr>
                <w:rFonts w:ascii="Times New Roman" w:hAnsi="Times New Roman" w:cs="Times New Roman"/>
              </w:rPr>
              <w:t>Počet subjektov, ktoré implementovali inovované procesy</w:t>
            </w:r>
          </w:p>
        </w:tc>
        <w:tc>
          <w:tcPr>
            <w:tcW w:w="3969" w:type="dxa"/>
          </w:tcPr>
          <w:p w14:paraId="2E00CCB8" w14:textId="0F06C8B7" w:rsidR="007A7625" w:rsidRPr="006D0167" w:rsidRDefault="007A7625" w:rsidP="007A7625">
            <w:pPr>
              <w:rPr>
                <w:rFonts w:ascii="Times New Roman" w:hAnsi="Times New Roman" w:cs="Times New Roman"/>
                <w:color w:val="000000"/>
              </w:rPr>
            </w:pPr>
            <w:r w:rsidRPr="006D0167">
              <w:rPr>
                <w:rFonts w:ascii="Times New Roman" w:hAnsi="Times New Roman" w:cs="Times New Roman"/>
              </w:rPr>
              <w:t>Počet subjektov, ktoré v rámci realizácie aktivít projektu implementovali inovované procesy</w:t>
            </w:r>
            <w:r>
              <w:rPr>
                <w:rFonts w:ascii="Times New Roman" w:hAnsi="Times New Roman" w:cs="Times New Roman"/>
              </w:rPr>
              <w:t>.</w:t>
            </w:r>
            <w:r w:rsidRPr="006D01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72A88DE2" w14:textId="5D6FA058" w:rsidR="007A7625" w:rsidRDefault="007A7625" w:rsidP="007A7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757FAE8" w14:textId="140AF166" w:rsidR="007A7625" w:rsidRPr="002D0719" w:rsidRDefault="007A7625" w:rsidP="007A7625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 dátumu ukončenia realizácie aktivít projektu</w:t>
            </w:r>
          </w:p>
        </w:tc>
        <w:tc>
          <w:tcPr>
            <w:tcW w:w="966" w:type="dxa"/>
          </w:tcPr>
          <w:p w14:paraId="15416E06" w14:textId="67E3D6FD" w:rsidR="007A7625" w:rsidRDefault="00A21F3B" w:rsidP="007A76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1698" w:type="dxa"/>
          </w:tcPr>
          <w:p w14:paraId="62247CA6" w14:textId="77777777" w:rsidR="007A7625" w:rsidRDefault="007A7625" w:rsidP="007A7625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Udržateľný rozvoj</w:t>
            </w:r>
          </w:p>
          <w:p w14:paraId="0A26AA8F" w14:textId="2A41590C" w:rsidR="007A7625" w:rsidRPr="002D0719" w:rsidRDefault="007A7625" w:rsidP="007A7625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Rovnosť mužov a žien a nediskriminá</w:t>
            </w:r>
            <w:r>
              <w:rPr>
                <w:rFonts w:ascii="Times New Roman" w:hAnsi="Times New Roman" w:cs="Times New Roman"/>
              </w:rPr>
              <w:lastRenderedPageBreak/>
              <w:t>cia</w:t>
            </w:r>
          </w:p>
        </w:tc>
      </w:tr>
      <w:tr w:rsidR="007A7625" w:rsidRPr="002D0719" w14:paraId="5006B82A" w14:textId="77777777" w:rsidTr="00C16F8E">
        <w:trPr>
          <w:trHeight w:val="984"/>
        </w:trPr>
        <w:tc>
          <w:tcPr>
            <w:tcW w:w="1488" w:type="dxa"/>
          </w:tcPr>
          <w:p w14:paraId="136F7575" w14:textId="30875607" w:rsidR="007A7625" w:rsidRDefault="007A7625" w:rsidP="007A7625">
            <w:pPr>
              <w:ind w:left="-214" w:firstLine="2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P0034</w:t>
            </w:r>
          </w:p>
        </w:tc>
        <w:tc>
          <w:tcPr>
            <w:tcW w:w="1984" w:type="dxa"/>
          </w:tcPr>
          <w:p w14:paraId="35F9CD3D" w14:textId="33FCEDB9" w:rsidR="007A7625" w:rsidRPr="002D0719" w:rsidRDefault="007A7625" w:rsidP="002C1513">
            <w:pPr>
              <w:rPr>
                <w:rFonts w:ascii="Times New Roman" w:hAnsi="Times New Roman" w:cs="Times New Roman"/>
              </w:rPr>
            </w:pPr>
            <w:r w:rsidRPr="00CE46B2">
              <w:rPr>
                <w:rFonts w:ascii="Times New Roman" w:hAnsi="Times New Roman" w:cs="Times New Roman"/>
              </w:rPr>
              <w:t>Čas potrebný na vybavenie veci v sporových, občianskych a obchodných veciach</w:t>
            </w:r>
            <w:r w:rsidR="00891E76">
              <w:rPr>
                <w:rStyle w:val="Odkaznapoznmkupodiarou"/>
                <w:rFonts w:ascii="Times New Roman" w:hAnsi="Times New Roman" w:cs="Times New Roman"/>
              </w:rPr>
              <w:footnoteReference w:id="1"/>
            </w:r>
            <w:r w:rsidRPr="00CE46B2">
              <w:rPr>
                <w:rFonts w:ascii="Times New Roman" w:hAnsi="Times New Roman" w:cs="Times New Roman"/>
              </w:rPr>
              <w:t xml:space="preserve"> </w:t>
            </w:r>
            <w:r w:rsidR="002C1513">
              <w:t xml:space="preserve"> </w:t>
            </w:r>
            <w:r w:rsidR="002C1513" w:rsidRPr="002C1513">
              <w:rPr>
                <w:rFonts w:ascii="Times New Roman" w:hAnsi="Times New Roman" w:cs="Times New Roman"/>
              </w:rPr>
              <w:t>(1. stupeň)</w:t>
            </w:r>
          </w:p>
        </w:tc>
        <w:tc>
          <w:tcPr>
            <w:tcW w:w="3969" w:type="dxa"/>
          </w:tcPr>
          <w:p w14:paraId="4B437ECB" w14:textId="73794988" w:rsidR="007A7625" w:rsidRPr="002D0719" w:rsidRDefault="007A7625" w:rsidP="007A7625">
            <w:pPr>
              <w:rPr>
                <w:rFonts w:ascii="Times New Roman" w:hAnsi="Times New Roman" w:cs="Times New Roman"/>
                <w:color w:val="000000"/>
              </w:rPr>
            </w:pPr>
            <w:r w:rsidRPr="006D0167">
              <w:rPr>
                <w:rFonts w:ascii="Times New Roman" w:hAnsi="Times New Roman" w:cs="Times New Roman"/>
              </w:rPr>
              <w:t xml:space="preserve">Počet dní potrebných na vybavenie veci v sporových, občianskych a obchodných veciach na prvostupňových súdoch. </w:t>
            </w:r>
          </w:p>
        </w:tc>
        <w:tc>
          <w:tcPr>
            <w:tcW w:w="2268" w:type="dxa"/>
          </w:tcPr>
          <w:p w14:paraId="7763FF38" w14:textId="24D91DC3" w:rsidR="007A7625" w:rsidRDefault="007A7625" w:rsidP="007A76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2430081" w14:textId="02DB97D9" w:rsidR="007A7625" w:rsidRPr="002D0719" w:rsidRDefault="007A7625" w:rsidP="007A7625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K dátumu ukončenia realizácie aktivít projektu</w:t>
            </w:r>
          </w:p>
        </w:tc>
        <w:tc>
          <w:tcPr>
            <w:tcW w:w="966" w:type="dxa"/>
          </w:tcPr>
          <w:p w14:paraId="6F7723C3" w14:textId="7B03D8B7" w:rsidR="007A7625" w:rsidRDefault="00A21F3B" w:rsidP="007A76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1698" w:type="dxa"/>
          </w:tcPr>
          <w:p w14:paraId="48A3D3F2" w14:textId="308680FE" w:rsidR="007A7625" w:rsidRPr="002D0719" w:rsidRDefault="007A7625" w:rsidP="00A21F3B">
            <w:pPr>
              <w:pStyle w:val="Odsekzoznamu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</w:tbl>
    <w:p w14:paraId="1BC45A14" w14:textId="77777777" w:rsidR="00AA09DF" w:rsidRDefault="00AA09DF" w:rsidP="00506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404B86D" w14:textId="77777777" w:rsidR="00013E1F" w:rsidRDefault="00013E1F" w:rsidP="00506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BC45A15" w14:textId="6EC28BA1" w:rsidR="0091439A" w:rsidRPr="00C1434A" w:rsidRDefault="005060A2" w:rsidP="001F3462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5060A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Poznámka: </w:t>
      </w:r>
      <w:r w:rsidR="00481F83" w:rsidRPr="00C1434A">
        <w:rPr>
          <w:rFonts w:ascii="Times New Roman" w:hAnsi="Times New Roman" w:cs="Times New Roman"/>
          <w:color w:val="000000"/>
        </w:rPr>
        <w:t>Ž</w:t>
      </w:r>
      <w:r w:rsidRPr="00C1434A">
        <w:rPr>
          <w:rFonts w:ascii="Times New Roman" w:hAnsi="Times New Roman" w:cs="Times New Roman"/>
          <w:color w:val="000000"/>
        </w:rPr>
        <w:t xml:space="preserve">iadateľ </w:t>
      </w:r>
      <w:r w:rsidR="00481F83" w:rsidRPr="00C1434A">
        <w:rPr>
          <w:rFonts w:ascii="Times New Roman" w:hAnsi="Times New Roman" w:cs="Times New Roman"/>
          <w:color w:val="000000"/>
        </w:rPr>
        <w:t xml:space="preserve">je </w:t>
      </w:r>
      <w:r w:rsidRPr="00C1434A">
        <w:rPr>
          <w:rFonts w:ascii="Times New Roman" w:hAnsi="Times New Roman" w:cs="Times New Roman"/>
          <w:color w:val="000000"/>
        </w:rPr>
        <w:t>povinný stanovi</w:t>
      </w:r>
      <w:r w:rsidR="00481F83" w:rsidRPr="00C1434A">
        <w:rPr>
          <w:rFonts w:ascii="Times New Roman" w:hAnsi="Times New Roman" w:cs="Times New Roman"/>
          <w:color w:val="000000"/>
        </w:rPr>
        <w:t xml:space="preserve">ť “nenulovú“ cieľovú hodnotu </w:t>
      </w:r>
      <w:r w:rsidRPr="00C1434A">
        <w:rPr>
          <w:rFonts w:ascii="Times New Roman" w:hAnsi="Times New Roman" w:cs="Times New Roman"/>
          <w:color w:val="000000"/>
        </w:rPr>
        <w:t>merateľné</w:t>
      </w:r>
      <w:r w:rsidR="00481F83" w:rsidRPr="00C1434A">
        <w:rPr>
          <w:rFonts w:ascii="Times New Roman" w:hAnsi="Times New Roman" w:cs="Times New Roman"/>
          <w:color w:val="000000"/>
        </w:rPr>
        <w:t>ho</w:t>
      </w:r>
      <w:r w:rsidRPr="00C1434A">
        <w:rPr>
          <w:rFonts w:ascii="Times New Roman" w:hAnsi="Times New Roman" w:cs="Times New Roman"/>
          <w:color w:val="000000"/>
        </w:rPr>
        <w:t xml:space="preserve"> uka</w:t>
      </w:r>
      <w:r w:rsidR="00481F83" w:rsidRPr="00C1434A">
        <w:rPr>
          <w:rFonts w:ascii="Times New Roman" w:hAnsi="Times New Roman" w:cs="Times New Roman"/>
          <w:color w:val="000000"/>
        </w:rPr>
        <w:t>zovateľa projektu, ktorá</w:t>
      </w:r>
      <w:r w:rsidRPr="00C1434A">
        <w:rPr>
          <w:rFonts w:ascii="Times New Roman" w:hAnsi="Times New Roman" w:cs="Times New Roman"/>
          <w:color w:val="000000"/>
        </w:rPr>
        <w:t xml:space="preserve"> </w:t>
      </w:r>
      <w:r w:rsidR="00481F83" w:rsidRPr="00C1434A">
        <w:rPr>
          <w:rFonts w:ascii="Times New Roman" w:hAnsi="Times New Roman" w:cs="Times New Roman"/>
          <w:color w:val="000000"/>
        </w:rPr>
        <w:t>má</w:t>
      </w:r>
      <w:r w:rsidRPr="00C1434A">
        <w:rPr>
          <w:rFonts w:ascii="Times New Roman" w:hAnsi="Times New Roman" w:cs="Times New Roman"/>
          <w:color w:val="000000"/>
        </w:rPr>
        <w:t xml:space="preserve"> byť realizáciou</w:t>
      </w:r>
      <w:r w:rsidR="00481F83" w:rsidRPr="00C1434A">
        <w:rPr>
          <w:rFonts w:ascii="Times New Roman" w:hAnsi="Times New Roman" w:cs="Times New Roman"/>
          <w:color w:val="000000"/>
        </w:rPr>
        <w:t xml:space="preserve"> navrhovaných aktivít dosiahnutá.</w:t>
      </w:r>
      <w:r w:rsidR="00C1434A" w:rsidRPr="00C1434A">
        <w:rPr>
          <w:rFonts w:ascii="Times New Roman" w:hAnsi="Times New Roman" w:cs="Times New Roman"/>
          <w:color w:val="000000"/>
        </w:rPr>
        <w:t xml:space="preserve"> Cieľová hodnota za jednotlivé kategórie regiónov</w:t>
      </w:r>
      <w:r w:rsidR="006F076D">
        <w:rPr>
          <w:rFonts w:ascii="Times New Roman" w:hAnsi="Times New Roman" w:cs="Times New Roman"/>
          <w:color w:val="000000"/>
        </w:rPr>
        <w:t xml:space="preserve"> </w:t>
      </w:r>
      <w:r w:rsidR="00C1434A" w:rsidRPr="00C1434A">
        <w:rPr>
          <w:rFonts w:ascii="Times New Roman" w:hAnsi="Times New Roman" w:cs="Times New Roman"/>
          <w:color w:val="000000"/>
        </w:rPr>
        <w:t>sa</w:t>
      </w:r>
      <w:r w:rsidR="00C91317">
        <w:rPr>
          <w:rFonts w:ascii="Times New Roman" w:hAnsi="Times New Roman" w:cs="Times New Roman"/>
          <w:color w:val="000000"/>
        </w:rPr>
        <w:t xml:space="preserve"> do ITMS </w:t>
      </w:r>
      <w:r w:rsidR="00C1434A" w:rsidRPr="00C1434A">
        <w:rPr>
          <w:rFonts w:ascii="Times New Roman" w:hAnsi="Times New Roman" w:cs="Times New Roman"/>
          <w:color w:val="000000"/>
        </w:rPr>
        <w:t xml:space="preserve">zadá tak, že sa celková plánovaná cieľová hodnota rozdelí na princípe </w:t>
      </w:r>
      <w:r w:rsidR="002D0719" w:rsidRPr="004A4922">
        <w:rPr>
          <w:rFonts w:ascii="Times New Roman" w:hAnsi="Times New Roman" w:cs="Times New Roman"/>
          <w:color w:val="000000"/>
        </w:rPr>
        <w:t xml:space="preserve">pomeru ako sa prideľujú výdavky projektu so zaokrúhlením na jedno desatinné miesto: </w:t>
      </w:r>
      <w:r w:rsidR="004A4922" w:rsidRPr="004A4922">
        <w:rPr>
          <w:rFonts w:ascii="Times New Roman" w:hAnsi="Times New Roman" w:cs="Times New Roman"/>
        </w:rPr>
        <w:t>8</w:t>
      </w:r>
      <w:r w:rsidR="004048A3">
        <w:rPr>
          <w:rFonts w:ascii="Times New Roman" w:hAnsi="Times New Roman" w:cs="Times New Roman"/>
        </w:rPr>
        <w:t>8</w:t>
      </w:r>
      <w:r w:rsidR="00AC334A">
        <w:rPr>
          <w:rFonts w:ascii="Times New Roman" w:hAnsi="Times New Roman" w:cs="Times New Roman"/>
        </w:rPr>
        <w:t>,</w:t>
      </w:r>
      <w:r w:rsidR="004048A3">
        <w:rPr>
          <w:rFonts w:ascii="Times New Roman" w:hAnsi="Times New Roman" w:cs="Times New Roman"/>
        </w:rPr>
        <w:t>33</w:t>
      </w:r>
      <w:r w:rsidR="002D0719" w:rsidRPr="004A4922">
        <w:rPr>
          <w:rFonts w:ascii="Times New Roman" w:hAnsi="Times New Roman" w:cs="Times New Roman"/>
        </w:rPr>
        <w:t>% menej rozvinutý región/</w:t>
      </w:r>
      <w:r w:rsidR="004A4922" w:rsidRPr="004A4922">
        <w:rPr>
          <w:rFonts w:ascii="Times New Roman" w:hAnsi="Times New Roman" w:cs="Times New Roman"/>
        </w:rPr>
        <w:t>1</w:t>
      </w:r>
      <w:r w:rsidR="004048A3">
        <w:rPr>
          <w:rFonts w:ascii="Times New Roman" w:hAnsi="Times New Roman" w:cs="Times New Roman"/>
        </w:rPr>
        <w:t>1</w:t>
      </w:r>
      <w:r w:rsidR="004A4922" w:rsidRPr="004A4922">
        <w:rPr>
          <w:rFonts w:ascii="Times New Roman" w:hAnsi="Times New Roman" w:cs="Times New Roman"/>
        </w:rPr>
        <w:t>,</w:t>
      </w:r>
      <w:r w:rsidR="004048A3">
        <w:rPr>
          <w:rFonts w:ascii="Times New Roman" w:hAnsi="Times New Roman" w:cs="Times New Roman"/>
        </w:rPr>
        <w:t>67</w:t>
      </w:r>
      <w:r w:rsidR="002D0719" w:rsidRPr="004A4922">
        <w:rPr>
          <w:rFonts w:ascii="Times New Roman" w:hAnsi="Times New Roman" w:cs="Times New Roman"/>
        </w:rPr>
        <w:t>%</w:t>
      </w:r>
      <w:r w:rsidR="004A4922">
        <w:rPr>
          <w:rFonts w:ascii="Times New Roman" w:hAnsi="Times New Roman" w:cs="Times New Roman"/>
        </w:rPr>
        <w:t xml:space="preserve"> rozvinutejší</w:t>
      </w:r>
      <w:r w:rsidR="002D0719" w:rsidRPr="004A4922">
        <w:rPr>
          <w:rFonts w:ascii="Times New Roman" w:hAnsi="Times New Roman" w:cs="Times New Roman"/>
        </w:rPr>
        <w:t xml:space="preserve"> región</w:t>
      </w:r>
      <w:r w:rsidR="00E26B23" w:rsidRPr="004A4922">
        <w:rPr>
          <w:rFonts w:ascii="Times New Roman" w:hAnsi="Times New Roman" w:cs="Times New Roman"/>
          <w:color w:val="000000"/>
        </w:rPr>
        <w:t>.</w:t>
      </w:r>
      <w:r w:rsidR="00AC334A">
        <w:rPr>
          <w:rFonts w:ascii="Times New Roman" w:hAnsi="Times New Roman" w:cs="Times New Roman"/>
          <w:color w:val="000000"/>
        </w:rPr>
        <w:t xml:space="preserve"> </w:t>
      </w:r>
    </w:p>
    <w:sectPr w:rsidR="0091439A" w:rsidRPr="00C1434A" w:rsidSect="00596FC9">
      <w:headerReference w:type="default" r:id="rId11"/>
      <w:headerReference w:type="first" r:id="rId12"/>
      <w:pgSz w:w="16838" w:h="11906" w:orient="landscape"/>
      <w:pgMar w:top="1561" w:right="1417" w:bottom="1276" w:left="1417" w:header="708" w:footer="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61BE5" w14:textId="77777777" w:rsidR="001E57DE" w:rsidRDefault="001E57DE" w:rsidP="00BE3A1E">
      <w:pPr>
        <w:spacing w:after="0" w:line="240" w:lineRule="auto"/>
      </w:pPr>
      <w:r>
        <w:separator/>
      </w:r>
    </w:p>
  </w:endnote>
  <w:endnote w:type="continuationSeparator" w:id="0">
    <w:p w14:paraId="5BA22A7E" w14:textId="77777777" w:rsidR="001E57DE" w:rsidRDefault="001E57DE" w:rsidP="00BE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ACBFC" w14:textId="77777777" w:rsidR="001E57DE" w:rsidRDefault="001E57DE" w:rsidP="00BE3A1E">
      <w:pPr>
        <w:spacing w:after="0" w:line="240" w:lineRule="auto"/>
      </w:pPr>
      <w:r>
        <w:separator/>
      </w:r>
    </w:p>
  </w:footnote>
  <w:footnote w:type="continuationSeparator" w:id="0">
    <w:p w14:paraId="0C3AC2D4" w14:textId="77777777" w:rsidR="001E57DE" w:rsidRDefault="001E57DE" w:rsidP="00BE3A1E">
      <w:pPr>
        <w:spacing w:after="0" w:line="240" w:lineRule="auto"/>
      </w:pPr>
      <w:r>
        <w:continuationSeparator/>
      </w:r>
    </w:p>
  </w:footnote>
  <w:footnote w:id="1">
    <w:p w14:paraId="093896B2" w14:textId="0B03DAB4" w:rsidR="00891E76" w:rsidRPr="00891E76" w:rsidRDefault="00891E76">
      <w:pPr>
        <w:pStyle w:val="Textpoznmkypodiarou"/>
        <w:rPr>
          <w:rFonts w:ascii="Times New Roman" w:hAnsi="Times New Roman" w:cs="Times New Roman"/>
          <w:sz w:val="22"/>
          <w:szCs w:val="22"/>
        </w:rPr>
      </w:pPr>
      <w:r w:rsidRPr="00891E76">
        <w:rPr>
          <w:rFonts w:ascii="Times New Roman" w:hAnsi="Times New Roman" w:cs="Times New Roman"/>
          <w:sz w:val="22"/>
          <w:szCs w:val="22"/>
          <w:vertAlign w:val="superscript"/>
        </w:rPr>
        <w:footnoteRef/>
      </w:r>
      <w:r w:rsidRPr="00891E76">
        <w:rPr>
          <w:rFonts w:ascii="Times New Roman" w:hAnsi="Times New Roman" w:cs="Times New Roman"/>
          <w:sz w:val="22"/>
          <w:szCs w:val="22"/>
        </w:rPr>
        <w:t xml:space="preserve"> Plánovaná hodnota musí odrážať skrátenie času potrebného na vybavenie veci v  sporových, občianskych a obchodných veciach  (1. stupeň) vzhľadom k východiskovej hodnote 437 dní</w:t>
      </w:r>
      <w:r w:rsidR="008A14BF">
        <w:rPr>
          <w:rFonts w:ascii="Times New Roman" w:hAnsi="Times New Roman" w:cs="Times New Roman"/>
          <w:sz w:val="22"/>
          <w:szCs w:val="22"/>
        </w:rPr>
        <w:t xml:space="preserve"> uvedenej </w:t>
      </w:r>
      <w:r w:rsidR="00F72DF1">
        <w:rPr>
          <w:rFonts w:ascii="Times New Roman" w:hAnsi="Times New Roman" w:cs="Times New Roman"/>
          <w:sz w:val="22"/>
          <w:szCs w:val="22"/>
        </w:rPr>
        <w:t xml:space="preserve">v OP </w:t>
      </w:r>
      <w:r w:rsidR="008A14BF">
        <w:rPr>
          <w:rFonts w:ascii="Times New Roman" w:hAnsi="Times New Roman" w:cs="Times New Roman"/>
          <w:sz w:val="22"/>
          <w:szCs w:val="22"/>
        </w:rPr>
        <w:t>EVS</w:t>
      </w:r>
      <w:r w:rsidRPr="00891E76">
        <w:rPr>
          <w:rFonts w:ascii="Times New Roman" w:hAnsi="Times New Roman" w:cs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45A1A" w14:textId="66CD445D" w:rsidR="00E9094E" w:rsidRDefault="00E9094E">
    <w:pPr>
      <w:pStyle w:val="Hlavika"/>
    </w:pPr>
    <w:r>
      <w:t xml:space="preserve">                               </w:t>
    </w:r>
    <w:r>
      <w:tab/>
    </w:r>
    <w:r>
      <w:tab/>
    </w:r>
    <w:r>
      <w:tab/>
    </w:r>
  </w:p>
  <w:p w14:paraId="1BC45A1B" w14:textId="77777777" w:rsidR="00AA09DF" w:rsidRDefault="00AA09D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449EB" w14:textId="6BC48DF5" w:rsidR="00596FC9" w:rsidRDefault="00596FC9" w:rsidP="00596FC9">
    <w:pPr>
      <w:pStyle w:val="Hlavika"/>
      <w:jc w:val="right"/>
    </w:pPr>
    <w:r>
      <w:rPr>
        <w:rFonts w:eastAsia="Times New Roman"/>
        <w:noProof/>
        <w:lang w:eastAsia="sk-SK"/>
      </w:rPr>
      <w:drawing>
        <wp:inline distT="0" distB="0" distL="0" distR="0" wp14:anchorId="6E86D89A" wp14:editId="46307BAA">
          <wp:extent cx="3013200" cy="536400"/>
          <wp:effectExtent l="0" t="0" r="0" b="0"/>
          <wp:docPr id="5" name="Obrázok 5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2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586"/>
    <w:multiLevelType w:val="hybridMultilevel"/>
    <w:tmpl w:val="384ACAA8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8104B"/>
    <w:multiLevelType w:val="hybridMultilevel"/>
    <w:tmpl w:val="E1A033DE"/>
    <w:lvl w:ilvl="0" w:tplc="37287A7A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7E33A7"/>
    <w:multiLevelType w:val="hybridMultilevel"/>
    <w:tmpl w:val="86A61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27"/>
    <w:rsid w:val="0000724E"/>
    <w:rsid w:val="00010DC2"/>
    <w:rsid w:val="00013E1F"/>
    <w:rsid w:val="0002346D"/>
    <w:rsid w:val="00024BD6"/>
    <w:rsid w:val="00062560"/>
    <w:rsid w:val="00066755"/>
    <w:rsid w:val="00092B28"/>
    <w:rsid w:val="000B7F42"/>
    <w:rsid w:val="000D1C7A"/>
    <w:rsid w:val="000D29FD"/>
    <w:rsid w:val="000D3DF2"/>
    <w:rsid w:val="00100883"/>
    <w:rsid w:val="0012245D"/>
    <w:rsid w:val="00176CEC"/>
    <w:rsid w:val="00191950"/>
    <w:rsid w:val="001D1517"/>
    <w:rsid w:val="001E57DE"/>
    <w:rsid w:val="001F3462"/>
    <w:rsid w:val="00225720"/>
    <w:rsid w:val="00255BB1"/>
    <w:rsid w:val="002566D5"/>
    <w:rsid w:val="0027362A"/>
    <w:rsid w:val="00280B20"/>
    <w:rsid w:val="00286E2B"/>
    <w:rsid w:val="002C1513"/>
    <w:rsid w:val="002D0719"/>
    <w:rsid w:val="002F56EE"/>
    <w:rsid w:val="002F5FC9"/>
    <w:rsid w:val="00303685"/>
    <w:rsid w:val="0032620E"/>
    <w:rsid w:val="00342733"/>
    <w:rsid w:val="00346440"/>
    <w:rsid w:val="00355E64"/>
    <w:rsid w:val="003910CC"/>
    <w:rsid w:val="003A1AFA"/>
    <w:rsid w:val="003D2523"/>
    <w:rsid w:val="003E2A4E"/>
    <w:rsid w:val="003F70EC"/>
    <w:rsid w:val="00403C4F"/>
    <w:rsid w:val="004048A3"/>
    <w:rsid w:val="004623AF"/>
    <w:rsid w:val="00481F83"/>
    <w:rsid w:val="004A4922"/>
    <w:rsid w:val="0050110A"/>
    <w:rsid w:val="005060A2"/>
    <w:rsid w:val="00506CFA"/>
    <w:rsid w:val="0051182B"/>
    <w:rsid w:val="00524B81"/>
    <w:rsid w:val="00537325"/>
    <w:rsid w:val="00541E51"/>
    <w:rsid w:val="00596FC9"/>
    <w:rsid w:val="005A45DF"/>
    <w:rsid w:val="005C449A"/>
    <w:rsid w:val="005C6543"/>
    <w:rsid w:val="005D6ED8"/>
    <w:rsid w:val="00611079"/>
    <w:rsid w:val="00656CCA"/>
    <w:rsid w:val="00683743"/>
    <w:rsid w:val="00686709"/>
    <w:rsid w:val="00695A4F"/>
    <w:rsid w:val="006A660E"/>
    <w:rsid w:val="006C315D"/>
    <w:rsid w:val="006D0167"/>
    <w:rsid w:val="006E66DC"/>
    <w:rsid w:val="006F076D"/>
    <w:rsid w:val="007235C2"/>
    <w:rsid w:val="0075010D"/>
    <w:rsid w:val="0075545C"/>
    <w:rsid w:val="007A7625"/>
    <w:rsid w:val="007D08B0"/>
    <w:rsid w:val="007D4071"/>
    <w:rsid w:val="007E45E9"/>
    <w:rsid w:val="007E7C26"/>
    <w:rsid w:val="008376F2"/>
    <w:rsid w:val="0085404F"/>
    <w:rsid w:val="00860C7A"/>
    <w:rsid w:val="008749B7"/>
    <w:rsid w:val="00891E76"/>
    <w:rsid w:val="00894C0E"/>
    <w:rsid w:val="008A14BF"/>
    <w:rsid w:val="008A2DAA"/>
    <w:rsid w:val="008B1C19"/>
    <w:rsid w:val="008E2C27"/>
    <w:rsid w:val="008F2BE1"/>
    <w:rsid w:val="008F579E"/>
    <w:rsid w:val="00900B9D"/>
    <w:rsid w:val="0091439A"/>
    <w:rsid w:val="00960A13"/>
    <w:rsid w:val="009D14AD"/>
    <w:rsid w:val="009D23B7"/>
    <w:rsid w:val="009E3292"/>
    <w:rsid w:val="00A003D8"/>
    <w:rsid w:val="00A204DE"/>
    <w:rsid w:val="00A21F3B"/>
    <w:rsid w:val="00A836EF"/>
    <w:rsid w:val="00AA09DF"/>
    <w:rsid w:val="00AA19F4"/>
    <w:rsid w:val="00AB6E9B"/>
    <w:rsid w:val="00AC334A"/>
    <w:rsid w:val="00AC47AB"/>
    <w:rsid w:val="00AC5B77"/>
    <w:rsid w:val="00AE05B0"/>
    <w:rsid w:val="00AE0AA3"/>
    <w:rsid w:val="00AE3A38"/>
    <w:rsid w:val="00B75067"/>
    <w:rsid w:val="00B83742"/>
    <w:rsid w:val="00B8713C"/>
    <w:rsid w:val="00BA6B04"/>
    <w:rsid w:val="00BE39C9"/>
    <w:rsid w:val="00BE3A1E"/>
    <w:rsid w:val="00C1434A"/>
    <w:rsid w:val="00C16F8E"/>
    <w:rsid w:val="00C21260"/>
    <w:rsid w:val="00C22728"/>
    <w:rsid w:val="00C578A3"/>
    <w:rsid w:val="00C57B69"/>
    <w:rsid w:val="00C7627A"/>
    <w:rsid w:val="00C91317"/>
    <w:rsid w:val="00CA2572"/>
    <w:rsid w:val="00CB4D9B"/>
    <w:rsid w:val="00CE46B2"/>
    <w:rsid w:val="00D52D42"/>
    <w:rsid w:val="00D573AB"/>
    <w:rsid w:val="00D82601"/>
    <w:rsid w:val="00DF7C42"/>
    <w:rsid w:val="00E07793"/>
    <w:rsid w:val="00E26891"/>
    <w:rsid w:val="00E26B23"/>
    <w:rsid w:val="00E272A9"/>
    <w:rsid w:val="00E508A3"/>
    <w:rsid w:val="00E51229"/>
    <w:rsid w:val="00E56892"/>
    <w:rsid w:val="00E57E23"/>
    <w:rsid w:val="00E8266B"/>
    <w:rsid w:val="00E9094E"/>
    <w:rsid w:val="00EA41F0"/>
    <w:rsid w:val="00EA4E4D"/>
    <w:rsid w:val="00EB4DFB"/>
    <w:rsid w:val="00EC183E"/>
    <w:rsid w:val="00EC75C9"/>
    <w:rsid w:val="00ED4579"/>
    <w:rsid w:val="00EE040E"/>
    <w:rsid w:val="00F51667"/>
    <w:rsid w:val="00F72DF1"/>
    <w:rsid w:val="00F9678E"/>
    <w:rsid w:val="00FB586E"/>
    <w:rsid w:val="00FB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459F0"/>
  <w15:docId w15:val="{4BD84841-78F7-4D8F-84D7-5B36731F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3A1E"/>
  </w:style>
  <w:style w:type="paragraph" w:styleId="Pta">
    <w:name w:val="footer"/>
    <w:basedOn w:val="Normlny"/>
    <w:link w:val="Pt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3A1E"/>
  </w:style>
  <w:style w:type="paragraph" w:styleId="Textbubliny">
    <w:name w:val="Balloon Text"/>
    <w:basedOn w:val="Normlny"/>
    <w:link w:val="TextbublinyChar"/>
    <w:uiPriority w:val="99"/>
    <w:semiHidden/>
    <w:unhideWhenUsed/>
    <w:rsid w:val="00BE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3A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8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A41F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E0A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0A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0A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0A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0AA3"/>
    <w:rPr>
      <w:b/>
      <w:bCs/>
      <w:sz w:val="20"/>
      <w:szCs w:val="20"/>
    </w:rPr>
  </w:style>
  <w:style w:type="paragraph" w:customStyle="1" w:styleId="EVS-TEXT">
    <w:name w:val="EVS - TEXT"/>
    <w:basedOn w:val="Zkladntext"/>
    <w:qFormat/>
    <w:rsid w:val="005A45DF"/>
    <w:pPr>
      <w:spacing w:before="200"/>
      <w:jc w:val="both"/>
    </w:pPr>
    <w:rPr>
      <w:rFonts w:ascii="Times New Roman" w:eastAsia="MS Mincho" w:hAnsi="Times New Roman" w:cs="Times New Roman"/>
      <w:sz w:val="24"/>
      <w:szCs w:val="24"/>
      <w:lang w:val="en-GB" w:eastAsia="da-D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A45D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A45D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91E7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1E7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91E76"/>
    <w:rPr>
      <w:vertAlign w:val="superscript"/>
    </w:rPr>
  </w:style>
  <w:style w:type="paragraph" w:styleId="Nzov">
    <w:name w:val="Title"/>
    <w:basedOn w:val="Normlny"/>
    <w:next w:val="Normlny"/>
    <w:link w:val="NzovChar"/>
    <w:uiPriority w:val="10"/>
    <w:qFormat/>
    <w:rsid w:val="00891E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91E7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7DB8-EEA9-4569-936A-1519AF995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6B358-E2B5-4B4F-A415-BDCD27C18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1AF126-78BA-4BE0-BD65-A7CA17E4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C1B242-B720-4660-866C-AE710FCC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Matovič</dc:creator>
  <cp:keywords/>
  <dc:description/>
  <cp:lastModifiedBy>Miruška Hrabčáková</cp:lastModifiedBy>
  <cp:revision>14</cp:revision>
  <dcterms:created xsi:type="dcterms:W3CDTF">2016-12-19T12:37:00Z</dcterms:created>
  <dcterms:modified xsi:type="dcterms:W3CDTF">2017-02-28T09:27:00Z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