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bookmarkStart w:id="0" w:name="_GoBack"/>
      <w:bookmarkEnd w:id="0"/>
      <w:r w:rsidRPr="00A67FC3">
        <w:rPr>
          <w:rFonts w:ascii="Times New Roman" w:hAnsi="Times New Roman" w:cs="Times New Roman"/>
          <w:b/>
        </w:rPr>
        <w:t>:</w:t>
      </w:r>
    </w:p>
    <w:p w:rsidR="00164751" w:rsidRDefault="00164751" w:rsidP="0016475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64751">
        <w:rPr>
          <w:rFonts w:ascii="Times New Roman" w:hAnsi="Times New Roman" w:cs="Times New Roman"/>
        </w:rPr>
        <w:t>aušálna sadzba na nepriame výdavky určené na základe nákladov na zamestnancov (nariadenie 1303/2013, čl. 68, písm. b)</w:t>
      </w:r>
      <w:r w:rsidR="00F202A0">
        <w:rPr>
          <w:rFonts w:ascii="Times New Roman" w:hAnsi="Times New Roman" w:cs="Times New Roman"/>
        </w:rPr>
        <w:t xml:space="preserve"> </w:t>
      </w:r>
      <w:r w:rsidR="00B401D4">
        <w:rPr>
          <w:rFonts w:ascii="Times New Roman" w:hAnsi="Times New Roman" w:cs="Times New Roman"/>
        </w:rPr>
        <w:t>vo výške 15 %;</w:t>
      </w:r>
    </w:p>
    <w:p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164751"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projektu;</w:t>
      </w:r>
    </w:p>
    <w:p w:rsidR="00164751" w:rsidRDefault="00164751" w:rsidP="0016475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164751">
        <w:rPr>
          <w:rFonts w:ascii="Times New Roman" w:hAnsi="Times New Roman" w:cs="Times New Roman"/>
        </w:rPr>
        <w:t>ednotkové výdavky</w:t>
      </w:r>
      <w:r>
        <w:rPr>
          <w:rFonts w:ascii="Times New Roman" w:hAnsi="Times New Roman" w:cs="Times New Roman"/>
        </w:rPr>
        <w:t xml:space="preserve"> v súlade s</w:t>
      </w:r>
      <w:r w:rsidRPr="00164751">
        <w:t xml:space="preserve"> </w:t>
      </w:r>
      <w:r>
        <w:rPr>
          <w:rFonts w:ascii="Times New Roman" w:hAnsi="Times New Roman" w:cs="Times New Roman"/>
        </w:rPr>
        <w:t>Štandardnou</w:t>
      </w:r>
      <w:r w:rsidRPr="00164751">
        <w:rPr>
          <w:rFonts w:ascii="Times New Roman" w:hAnsi="Times New Roman" w:cs="Times New Roman"/>
        </w:rPr>
        <w:t xml:space="preserve"> stupnic</w:t>
      </w:r>
      <w:r>
        <w:rPr>
          <w:rFonts w:ascii="Times New Roman" w:hAnsi="Times New Roman" w:cs="Times New Roman"/>
        </w:rPr>
        <w:t>ou</w:t>
      </w:r>
      <w:r w:rsidRPr="00164751">
        <w:rPr>
          <w:rFonts w:ascii="Times New Roman" w:hAnsi="Times New Roman" w:cs="Times New Roman"/>
        </w:rPr>
        <w:t xml:space="preserve"> jednotkových nákladov</w:t>
      </w:r>
      <w:r>
        <w:rPr>
          <w:rFonts w:ascii="Times New Roman" w:hAnsi="Times New Roman" w:cs="Times New Roman"/>
        </w:rPr>
        <w:t>;</w:t>
      </w:r>
    </w:p>
    <w:p w:rsidR="00303556" w:rsidRDefault="009032BF" w:rsidP="009032B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032BF">
        <w:rPr>
          <w:rFonts w:ascii="Times New Roman" w:hAnsi="Times New Roman" w:cs="Times New Roman"/>
        </w:rPr>
        <w:t>výdavky na obstaranie zariadenia a vybavenia, ktoré výlučne používa odborný personál</w:t>
      </w:r>
      <w:r w:rsidRPr="009378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B401D4">
        <w:rPr>
          <w:rFonts w:ascii="Times New Roman" w:hAnsi="Times New Roman" w:cs="Times New Roman"/>
        </w:rPr>
        <w:t>;</w:t>
      </w:r>
    </w:p>
    <w:p w:rsidR="009032BF" w:rsidRDefault="00303556" w:rsidP="009032B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nákup softvéru</w:t>
      </w:r>
      <w:r w:rsidR="009032BF">
        <w:rPr>
          <w:rFonts w:ascii="Times New Roman" w:hAnsi="Times New Roman" w:cs="Times New Roman"/>
        </w:rPr>
        <w:t>;</w:t>
      </w:r>
    </w:p>
    <w:p w:rsidR="00303556" w:rsidRDefault="00B401D4" w:rsidP="00B401D4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401D4">
        <w:rPr>
          <w:rFonts w:ascii="Times New Roman" w:hAnsi="Times New Roman" w:cs="Times New Roman"/>
        </w:rPr>
        <w:t>výdavky na nájom priestorov</w:t>
      </w:r>
      <w:r>
        <w:rPr>
          <w:rFonts w:ascii="Times New Roman" w:hAnsi="Times New Roman" w:cs="Times New Roman"/>
        </w:rPr>
        <w:t>;</w:t>
      </w:r>
    </w:p>
    <w:p w:rsidR="00944AA4" w:rsidRDefault="00944AA4" w:rsidP="00B401D4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výdavky na zabezpečenie služby – dodávané externe;</w:t>
      </w:r>
    </w:p>
    <w:p w:rsidR="00295252" w:rsidRDefault="00295252" w:rsidP="0029525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95252">
        <w:rPr>
          <w:rFonts w:ascii="Times New Roman" w:hAnsi="Times New Roman" w:cs="Times New Roman"/>
        </w:rPr>
        <w:t>výdavky na zabezpečenie rôznych druhov vzdelávania  – dodávané externe</w:t>
      </w:r>
      <w:r>
        <w:rPr>
          <w:rFonts w:ascii="Times New Roman" w:hAnsi="Times New Roman" w:cs="Times New Roman"/>
        </w:rPr>
        <w:t>;</w:t>
      </w:r>
    </w:p>
    <w:p w:rsidR="00001E9B" w:rsidRDefault="00001E9B" w:rsidP="00001E9B">
      <w:pPr>
        <w:pStyle w:val="Odsekzoznamu"/>
        <w:jc w:val="both"/>
        <w:rPr>
          <w:rFonts w:ascii="Times New Roman" w:hAnsi="Times New Roman" w:cs="Times New Roman"/>
        </w:rPr>
      </w:pPr>
    </w:p>
    <w:p w:rsidR="00001E9B" w:rsidRDefault="00001E9B" w:rsidP="00001E9B">
      <w:pPr>
        <w:pStyle w:val="Odsekzoznamu"/>
        <w:jc w:val="both"/>
        <w:rPr>
          <w:rFonts w:ascii="Times New Roman" w:hAnsi="Times New Roman" w:cs="Times New Roman"/>
          <w:b/>
          <w:i/>
        </w:rPr>
      </w:pPr>
      <w:r w:rsidRPr="00001E9B">
        <w:rPr>
          <w:rFonts w:ascii="Times New Roman" w:hAnsi="Times New Roman" w:cs="Times New Roman"/>
          <w:b/>
          <w:i/>
        </w:rPr>
        <w:t>V rámci vyzvania sú oprávnené výdavky na krížové financovanie</w:t>
      </w:r>
      <w:r>
        <w:rPr>
          <w:rStyle w:val="Odkaznapoznmkupodiarou"/>
          <w:rFonts w:ascii="Times New Roman" w:hAnsi="Times New Roman" w:cs="Times New Roman"/>
          <w:b/>
          <w:i/>
        </w:rPr>
        <w:footnoteReference w:id="3"/>
      </w:r>
      <w:r w:rsidRPr="00001E9B">
        <w:rPr>
          <w:rFonts w:ascii="Times New Roman" w:hAnsi="Times New Roman" w:cs="Times New Roman"/>
          <w:b/>
          <w:i/>
        </w:rPr>
        <w:t>:</w:t>
      </w:r>
    </w:p>
    <w:p w:rsidR="00001E9B" w:rsidRPr="00001E9B" w:rsidRDefault="00001E9B" w:rsidP="00001E9B">
      <w:pPr>
        <w:pStyle w:val="Odsekzoznamu"/>
        <w:jc w:val="both"/>
        <w:rPr>
          <w:rFonts w:ascii="Times New Roman" w:hAnsi="Times New Roman" w:cs="Times New Roman"/>
          <w:b/>
          <w:i/>
        </w:rPr>
      </w:pPr>
    </w:p>
    <w:p w:rsidR="00246CE4" w:rsidRPr="002573D4" w:rsidRDefault="00001E9B" w:rsidP="009032B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55BF">
        <w:rPr>
          <w:rFonts w:ascii="Times New Roman" w:hAnsi="Times New Roman" w:cs="Times New Roman"/>
          <w:sz w:val="24"/>
          <w:szCs w:val="24"/>
        </w:rPr>
        <w:t>nákup</w:t>
      </w:r>
      <w:r w:rsidR="0015620D">
        <w:rPr>
          <w:rFonts w:ascii="Times New Roman" w:hAnsi="Times New Roman" w:cs="Times New Roman"/>
          <w:sz w:val="24"/>
          <w:szCs w:val="24"/>
        </w:rPr>
        <w:t>,</w:t>
      </w:r>
      <w:r w:rsidR="00944AA4">
        <w:rPr>
          <w:rFonts w:ascii="Times New Roman" w:hAnsi="Times New Roman" w:cs="Times New Roman"/>
          <w:sz w:val="24"/>
          <w:szCs w:val="24"/>
        </w:rPr>
        <w:t xml:space="preserve"> výstavba</w:t>
      </w:r>
      <w:r w:rsidR="0015620D">
        <w:rPr>
          <w:rFonts w:ascii="Times New Roman" w:hAnsi="Times New Roman" w:cs="Times New Roman"/>
          <w:sz w:val="24"/>
          <w:szCs w:val="24"/>
        </w:rPr>
        <w:t xml:space="preserve"> alebo rekonštrukcia</w:t>
      </w:r>
      <w:r w:rsidR="002573D4">
        <w:rPr>
          <w:rFonts w:ascii="Times New Roman" w:hAnsi="Times New Roman" w:cs="Times New Roman"/>
          <w:sz w:val="24"/>
          <w:szCs w:val="24"/>
        </w:rPr>
        <w:t xml:space="preserve"> (obnova, údržba alebo prestavba vrátane zmeny účelu užívania stavby/stavebného objektu)</w:t>
      </w:r>
      <w:r w:rsidRPr="007755BF">
        <w:rPr>
          <w:rFonts w:ascii="Times New Roman" w:hAnsi="Times New Roman" w:cs="Times New Roman"/>
          <w:sz w:val="24"/>
          <w:szCs w:val="24"/>
        </w:rPr>
        <w:t xml:space="preserve"> infraštruktúry</w:t>
      </w:r>
      <w:r w:rsidR="0015620D">
        <w:rPr>
          <w:rFonts w:ascii="Times New Roman" w:hAnsi="Times New Roman" w:cs="Times New Roman"/>
          <w:sz w:val="24"/>
          <w:szCs w:val="24"/>
        </w:rPr>
        <w:t xml:space="preserve"> alebo ich kombinácia</w:t>
      </w:r>
      <w:r w:rsidR="006274C2">
        <w:rPr>
          <w:rFonts w:ascii="Times New Roman" w:hAnsi="Times New Roman" w:cs="Times New Roman"/>
          <w:sz w:val="24"/>
          <w:szCs w:val="24"/>
        </w:rPr>
        <w:t xml:space="preserve"> uvedených postupov</w:t>
      </w:r>
      <w:r w:rsidRPr="007755B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15620D">
        <w:rPr>
          <w:rFonts w:ascii="Times New Roman" w:hAnsi="Times New Roman" w:cs="Times New Roman"/>
          <w:sz w:val="24"/>
          <w:szCs w:val="24"/>
        </w:rPr>
        <w:t xml:space="preserve"> </w:t>
      </w:r>
      <w:r w:rsidR="0015620D" w:rsidRPr="00A67FC3">
        <w:rPr>
          <w:rFonts w:ascii="Times New Roman" w:hAnsi="Times New Roman" w:cs="Times New Roman"/>
        </w:rPr>
        <w:t>–</w:t>
      </w:r>
      <w:r w:rsidR="0015620D">
        <w:rPr>
          <w:rFonts w:ascii="Times New Roman" w:hAnsi="Times New Roman" w:cs="Times New Roman"/>
          <w:sz w:val="24"/>
          <w:szCs w:val="24"/>
        </w:rPr>
        <w:t xml:space="preserve"> nehnuteľnosti </w:t>
      </w:r>
      <w:r w:rsidR="006274C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274C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274C2">
        <w:rPr>
          <w:rFonts w:ascii="Times New Roman" w:hAnsi="Times New Roman" w:cs="Times New Roman"/>
          <w:sz w:val="24"/>
          <w:szCs w:val="24"/>
        </w:rPr>
        <w:t>. stavby / stavebné objekty a</w:t>
      </w:r>
      <w:r w:rsidR="0015620D">
        <w:rPr>
          <w:rFonts w:ascii="Times New Roman" w:hAnsi="Times New Roman" w:cs="Times New Roman"/>
          <w:sz w:val="24"/>
          <w:szCs w:val="24"/>
        </w:rPr>
        <w:t> </w:t>
      </w:r>
      <w:r w:rsidRPr="007755BF">
        <w:rPr>
          <w:rFonts w:ascii="Times New Roman" w:hAnsi="Times New Roman" w:cs="Times New Roman"/>
          <w:sz w:val="24"/>
          <w:szCs w:val="24"/>
        </w:rPr>
        <w:t>pozemk</w:t>
      </w:r>
      <w:r w:rsidR="006274C2">
        <w:rPr>
          <w:rFonts w:ascii="Times New Roman" w:hAnsi="Times New Roman" w:cs="Times New Roman"/>
          <w:sz w:val="24"/>
          <w:szCs w:val="24"/>
        </w:rPr>
        <w:t>y</w:t>
      </w:r>
      <w:r w:rsidR="00295252">
        <w:rPr>
          <w:rStyle w:val="Odkaznapoznmkupodiarou"/>
          <w:rFonts w:ascii="Times New Roman" w:hAnsi="Times New Roman" w:cs="Times New Roman"/>
        </w:rPr>
        <w:footnoteReference w:id="5"/>
      </w:r>
      <w:r w:rsidR="006274C2">
        <w:rPr>
          <w:rFonts w:ascii="Times New Roman" w:hAnsi="Times New Roman" w:cs="Times New Roman"/>
          <w:sz w:val="24"/>
          <w:szCs w:val="24"/>
        </w:rPr>
        <w:t xml:space="preserve">, </w:t>
      </w:r>
      <w:r w:rsidR="002573D4">
        <w:rPr>
          <w:rFonts w:ascii="Times New Roman" w:hAnsi="Times New Roman" w:cs="Times New Roman"/>
          <w:sz w:val="24"/>
          <w:szCs w:val="24"/>
        </w:rPr>
        <w:t>v rámci oprávnených výdavkov sa potom uplatňujú najmä</w:t>
      </w:r>
      <w:r w:rsidR="006274C2">
        <w:rPr>
          <w:rFonts w:ascii="Times New Roman" w:hAnsi="Times New Roman" w:cs="Times New Roman"/>
          <w:sz w:val="24"/>
          <w:szCs w:val="24"/>
        </w:rPr>
        <w:t xml:space="preserve"> súvisiace s</w:t>
      </w:r>
      <w:r w:rsidR="002573D4">
        <w:rPr>
          <w:rFonts w:ascii="Times New Roman" w:hAnsi="Times New Roman" w:cs="Times New Roman"/>
          <w:sz w:val="24"/>
          <w:szCs w:val="24"/>
        </w:rPr>
        <w:t>:</w:t>
      </w:r>
    </w:p>
    <w:p w:rsidR="002573D4" w:rsidRDefault="006274C2" w:rsidP="002573D4">
      <w:pPr>
        <w:pStyle w:val="Odsekzoznamu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obstaraním (nákupom) </w:t>
      </w:r>
      <w:r w:rsidR="002573D4">
        <w:rPr>
          <w:rFonts w:ascii="Times New Roman" w:hAnsi="Times New Roman" w:cs="Times New Roman"/>
        </w:rPr>
        <w:t>d</w:t>
      </w:r>
      <w:r w:rsidR="002573D4" w:rsidRPr="00944AA4">
        <w:rPr>
          <w:rFonts w:ascii="Times New Roman" w:hAnsi="Times New Roman" w:cs="Times New Roman"/>
        </w:rPr>
        <w:t>lhodob</w:t>
      </w:r>
      <w:r>
        <w:rPr>
          <w:rFonts w:ascii="Times New Roman" w:hAnsi="Times New Roman" w:cs="Times New Roman"/>
        </w:rPr>
        <w:t>ého hmotného majetku</w:t>
      </w:r>
      <w:r w:rsidR="002573D4">
        <w:rPr>
          <w:rFonts w:ascii="Times New Roman" w:hAnsi="Times New Roman" w:cs="Times New Roman"/>
        </w:rPr>
        <w:t>:</w:t>
      </w:r>
    </w:p>
    <w:p w:rsidR="002573D4" w:rsidRDefault="006274C2" w:rsidP="002573D4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</w:t>
      </w:r>
      <w:r w:rsidR="002573D4" w:rsidRPr="00944AA4">
        <w:rPr>
          <w:rFonts w:ascii="Times New Roman" w:hAnsi="Times New Roman" w:cs="Times New Roman"/>
        </w:rPr>
        <w:t>tavby</w:t>
      </w:r>
      <w:r>
        <w:rPr>
          <w:rFonts w:ascii="Times New Roman" w:hAnsi="Times New Roman" w:cs="Times New Roman"/>
        </w:rPr>
        <w:t xml:space="preserve"> a stavebné objekty</w:t>
      </w:r>
      <w:r w:rsidR="002573D4">
        <w:rPr>
          <w:rFonts w:ascii="Times New Roman" w:hAnsi="Times New Roman" w:cs="Times New Roman"/>
        </w:rPr>
        <w:t>;</w:t>
      </w:r>
    </w:p>
    <w:p w:rsidR="002573D4" w:rsidRDefault="006274C2" w:rsidP="002573D4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pozemky</w:t>
      </w:r>
      <w:r w:rsidR="002573D4">
        <w:rPr>
          <w:rFonts w:ascii="Times New Roman" w:hAnsi="Times New Roman" w:cs="Times New Roman"/>
        </w:rPr>
        <w:t>;</w:t>
      </w:r>
    </w:p>
    <w:p w:rsidR="002573D4" w:rsidRDefault="006274C2" w:rsidP="002573D4">
      <w:pPr>
        <w:pStyle w:val="Odsekzoznamu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realizáciou projektových a </w:t>
      </w:r>
      <w:r w:rsidR="002573D4" w:rsidRPr="00944AA4">
        <w:rPr>
          <w:rFonts w:ascii="Times New Roman" w:hAnsi="Times New Roman" w:cs="Times New Roman"/>
        </w:rPr>
        <w:t>stavebn</w:t>
      </w:r>
      <w:r>
        <w:rPr>
          <w:rFonts w:ascii="Times New Roman" w:hAnsi="Times New Roman" w:cs="Times New Roman"/>
        </w:rPr>
        <w:t>ých prác (jednotlivé činnosti ako súčasť obstarávacej/nadobúdacej ceny nehnuteľného hmotného majetku)</w:t>
      </w:r>
      <w:r w:rsidR="002573D4">
        <w:rPr>
          <w:rFonts w:ascii="Times New Roman" w:hAnsi="Times New Roman" w:cs="Times New Roman"/>
        </w:rPr>
        <w:t>:</w:t>
      </w:r>
    </w:p>
    <w:p w:rsidR="002573D4" w:rsidRDefault="002573D4" w:rsidP="002573D4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44AA4">
        <w:rPr>
          <w:rFonts w:ascii="Times New Roman" w:hAnsi="Times New Roman" w:cs="Times New Roman"/>
        </w:rPr>
        <w:t>výstavba a</w:t>
      </w:r>
      <w:r>
        <w:rPr>
          <w:rFonts w:ascii="Times New Roman" w:hAnsi="Times New Roman" w:cs="Times New Roman"/>
        </w:rPr>
        <w:t> </w:t>
      </w:r>
      <w:r w:rsidRPr="00944AA4">
        <w:rPr>
          <w:rFonts w:ascii="Times New Roman" w:hAnsi="Times New Roman" w:cs="Times New Roman"/>
        </w:rPr>
        <w:t>rekonštrukcia</w:t>
      </w:r>
      <w:r>
        <w:rPr>
          <w:rFonts w:ascii="Times New Roman" w:hAnsi="Times New Roman" w:cs="Times New Roman"/>
        </w:rPr>
        <w:t xml:space="preserve"> stavieb a stavebných objektov;</w:t>
      </w:r>
    </w:p>
    <w:p w:rsidR="006274C2" w:rsidRDefault="006274C2" w:rsidP="002573D4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zariadenie a vybavenie ako súčasti stavieb a stavebných objektov;</w:t>
      </w:r>
    </w:p>
    <w:p w:rsidR="006274C2" w:rsidRPr="006274C2" w:rsidRDefault="006274C2" w:rsidP="006274C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274C2">
        <w:rPr>
          <w:rFonts w:ascii="Times New Roman" w:hAnsi="Times New Roman" w:cs="Times New Roman"/>
        </w:rPr>
        <w:t>prípravná a projektová dokumentácia</w:t>
      </w:r>
      <w:r>
        <w:rPr>
          <w:rFonts w:ascii="Times New Roman" w:hAnsi="Times New Roman" w:cs="Times New Roman"/>
        </w:rPr>
        <w:t>;</w:t>
      </w:r>
    </w:p>
    <w:p w:rsidR="002573D4" w:rsidRPr="006274C2" w:rsidRDefault="000B729D" w:rsidP="006274C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autorský a </w:t>
      </w:r>
      <w:r w:rsidR="006274C2" w:rsidRPr="006274C2">
        <w:rPr>
          <w:rFonts w:ascii="Times New Roman" w:hAnsi="Times New Roman" w:cs="Times New Roman"/>
        </w:rPr>
        <w:t>stavebný dozor</w:t>
      </w:r>
      <w:r w:rsidR="006274C2">
        <w:rPr>
          <w:rFonts w:ascii="Times New Roman" w:hAnsi="Times New Roman" w:cs="Times New Roman"/>
        </w:rPr>
        <w:t>.</w:t>
      </w:r>
    </w:p>
    <w:p w:rsidR="002573D4" w:rsidRDefault="002573D4" w:rsidP="00944AA4">
      <w:pPr>
        <w:jc w:val="both"/>
        <w:rPr>
          <w:rFonts w:ascii="Times New Roman" w:hAnsi="Times New Roman" w:cs="Times New Roman"/>
        </w:rPr>
      </w:pPr>
    </w:p>
    <w:sectPr w:rsidR="002573D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D5" w:rsidRDefault="00F358D5" w:rsidP="00534853">
      <w:pPr>
        <w:spacing w:after="0" w:line="240" w:lineRule="auto"/>
      </w:pPr>
      <w:r>
        <w:separator/>
      </w:r>
    </w:p>
  </w:endnote>
  <w:endnote w:type="continuationSeparator" w:id="0">
    <w:p w:rsidR="00F358D5" w:rsidRDefault="00F358D5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D5" w:rsidRDefault="00F358D5" w:rsidP="00534853">
      <w:pPr>
        <w:spacing w:after="0" w:line="240" w:lineRule="auto"/>
      </w:pPr>
      <w:r>
        <w:separator/>
      </w:r>
    </w:p>
  </w:footnote>
  <w:footnote w:type="continuationSeparator" w:id="0">
    <w:p w:rsidR="00F358D5" w:rsidRDefault="00F358D5" w:rsidP="00534853">
      <w:pPr>
        <w:spacing w:after="0" w:line="240" w:lineRule="auto"/>
      </w:pPr>
      <w:r>
        <w:continuationSeparator/>
      </w:r>
    </w:p>
  </w:footnote>
  <w:footnote w:id="1">
    <w:p w:rsidR="00164751" w:rsidRPr="00DF2202" w:rsidRDefault="00164751" w:rsidP="00164751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>Pre personálne výdavky platí, že nesmú presiahnuť výšku obvyklú v danom odbore, čase a mieste a musia byť primerané úlohám a zodpovednostiam osôb zapojených do realizácie projektu. V prípade osobných výdavkov je nevyhnutné, aby žiadateľ</w:t>
      </w:r>
      <w:r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rešpektoval odmeňovanie jednotlivých pracovných pozícií s ohľadom na jeho predchádzajúcu mzdovú politiku vrátane vyplatenia odmien. Pri uplatňovaní zjednodušeného vykazovania výdavkov pri národných projektoch je žiadateľ</w:t>
      </w:r>
      <w:r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>
        <w:rPr>
          <w:rFonts w:ascii="Times New Roman" w:hAnsi="Times New Roman" w:cs="Times New Roman"/>
          <w:sz w:val="18"/>
          <w:szCs w:val="18"/>
        </w:rPr>
        <w:t xml:space="preserve">/partner)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ŽoNFP, ako aj v priebehu implementácie projektu. </w:t>
      </w:r>
    </w:p>
  </w:footnote>
  <w:footnote w:id="2">
    <w:p w:rsidR="009032BF" w:rsidRPr="00F84E4F" w:rsidRDefault="009032BF" w:rsidP="009032BF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F84E4F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F84E4F">
        <w:rPr>
          <w:rFonts w:ascii="Times New Roman" w:hAnsi="Times New Roman" w:cs="Times New Roman"/>
          <w:sz w:val="18"/>
          <w:szCs w:val="18"/>
        </w:rPr>
        <w:t xml:space="preserve"> Obstaranie zariadenia/vybavenia musí byť prepojené s odbornými aktivitami projektu, t. j. musí byť preukázané využitie v rámci projektu (len samotné obstaranie zariadenia/vybavenia bez prepojenia a využitia v rámci projektu je neakceptovateľné), čo žiadateľ jasne popíše v opise projektu/“</w:t>
      </w:r>
      <w:proofErr w:type="spellStart"/>
      <w:r w:rsidRPr="00F84E4F">
        <w:rPr>
          <w:rFonts w:ascii="Times New Roman" w:hAnsi="Times New Roman" w:cs="Times New Roman"/>
          <w:sz w:val="18"/>
          <w:szCs w:val="18"/>
        </w:rPr>
        <w:t>value</w:t>
      </w:r>
      <w:proofErr w:type="spellEnd"/>
      <w:r w:rsidRPr="00F84E4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4E4F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F84E4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4E4F">
        <w:rPr>
          <w:rFonts w:ascii="Times New Roman" w:hAnsi="Times New Roman" w:cs="Times New Roman"/>
          <w:sz w:val="18"/>
          <w:szCs w:val="18"/>
        </w:rPr>
        <w:t>money</w:t>
      </w:r>
      <w:proofErr w:type="spellEnd"/>
      <w:r w:rsidRPr="00F84E4F">
        <w:rPr>
          <w:rFonts w:ascii="Times New Roman" w:hAnsi="Times New Roman" w:cs="Times New Roman"/>
          <w:sz w:val="18"/>
          <w:szCs w:val="18"/>
        </w:rPr>
        <w:t>“. Uvedená zásada sa aplikuje aj v prípade majetku, ktorý nie je vykázaný ako dlhodobý hmotný/nehmotný majetok (napr. počítač, dataprojektor, rôzne pomôcky).</w:t>
      </w:r>
    </w:p>
  </w:footnote>
  <w:footnote w:id="3">
    <w:p w:rsidR="00001E9B" w:rsidRPr="00001E9B" w:rsidRDefault="00001E9B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 w:rsidR="0015620D">
        <w:rPr>
          <w:rFonts w:ascii="Times New Roman" w:hAnsi="Times New Roman" w:cs="Times New Roman"/>
          <w:sz w:val="18"/>
          <w:szCs w:val="18"/>
        </w:rPr>
        <w:t xml:space="preserve"> </w:t>
      </w:r>
      <w:r w:rsidRPr="00001E9B">
        <w:rPr>
          <w:rFonts w:ascii="Times New Roman" w:hAnsi="Times New Roman" w:cs="Times New Roman"/>
          <w:sz w:val="18"/>
          <w:szCs w:val="18"/>
        </w:rPr>
        <w:t xml:space="preserve">Krížové financovanie - v súlade s čl. 98 ods. 2 všeobecného nariadenia, komplementárny spôsob financovania oprávnených aktivít projektov spadajúcich do oblasti pomoci z druhého fondu (týka sa EFRR a ESF) v rámci limitu 10 % prostriedkov EÚ na každú prioritnú os OP </w:t>
      </w:r>
      <w:r w:rsidR="0015620D">
        <w:rPr>
          <w:rFonts w:ascii="Times New Roman" w:hAnsi="Times New Roman" w:cs="Times New Roman"/>
          <w:sz w:val="18"/>
          <w:szCs w:val="18"/>
        </w:rPr>
        <w:t xml:space="preserve">EVS </w:t>
      </w:r>
      <w:r w:rsidRPr="00001E9B">
        <w:rPr>
          <w:rFonts w:ascii="Times New Roman" w:hAnsi="Times New Roman" w:cs="Times New Roman"/>
          <w:sz w:val="18"/>
          <w:szCs w:val="18"/>
        </w:rPr>
        <w:t>s podmienkou, že sú tieto oprávnené aktivity potrebné na nevyhnutné vykonávanie proj</w:t>
      </w:r>
      <w:r w:rsidR="002573D4">
        <w:rPr>
          <w:rFonts w:ascii="Times New Roman" w:hAnsi="Times New Roman" w:cs="Times New Roman"/>
          <w:sz w:val="18"/>
          <w:szCs w:val="18"/>
        </w:rPr>
        <w:t>ektu a sú s ním priamo spojené.</w:t>
      </w:r>
      <w:r w:rsidRPr="00001E9B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4">
    <w:p w:rsidR="00001E9B" w:rsidRPr="00F84E4F" w:rsidRDefault="00001E9B" w:rsidP="0015620D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84E4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84E4F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F84E4F">
        <w:rPr>
          <w:rFonts w:ascii="Times New Roman" w:hAnsi="Times New Roman" w:cs="Times New Roman"/>
          <w:sz w:val="18"/>
          <w:szCs w:val="18"/>
        </w:rPr>
        <w:t>Pojem „infraštruktúra“ predstavuje hmotný majetok trvalej povahy, ktorý spĺňa nasledovné podmienky:</w:t>
      </w:r>
    </w:p>
    <w:p w:rsidR="00001E9B" w:rsidRPr="00F84E4F" w:rsidRDefault="00001E9B" w:rsidP="0015620D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F84E4F">
        <w:rPr>
          <w:rFonts w:ascii="Times New Roman" w:hAnsi="Times New Roman" w:cs="Times New Roman"/>
          <w:sz w:val="18"/>
          <w:szCs w:val="18"/>
        </w:rPr>
        <w:t>má nehnuteľný (nepohyblivý) charakter (je buď trvale spojený so zemou alebo s majetkom, ktorý je trvale spojený so zemou, v tomto prípade stráca svoju identitu prostredníctvom spojenia a stáva sa súčasťou nehnuteľného majetku s ktorým je spojený);</w:t>
      </w:r>
    </w:p>
    <w:p w:rsidR="00001E9B" w:rsidRPr="00F84E4F" w:rsidRDefault="00001E9B" w:rsidP="0015620D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F84E4F">
        <w:rPr>
          <w:rFonts w:ascii="Times New Roman" w:hAnsi="Times New Roman" w:cs="Times New Roman"/>
          <w:sz w:val="18"/>
          <w:szCs w:val="18"/>
        </w:rPr>
        <w:t>za normálnych podmienok použitia (vrátane primeranej starostlivosti a údržby) má neobmedzenú dobu použitia;</w:t>
      </w:r>
    </w:p>
    <w:p w:rsidR="00001E9B" w:rsidRPr="00F84E4F" w:rsidRDefault="00001E9B" w:rsidP="0015620D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F84E4F">
        <w:rPr>
          <w:rFonts w:ascii="Times New Roman" w:hAnsi="Times New Roman" w:cs="Times New Roman"/>
          <w:sz w:val="18"/>
          <w:szCs w:val="18"/>
        </w:rPr>
        <w:t>aj napriek používaniu si uchováva pôvodný tvar a</w:t>
      </w:r>
      <w:r w:rsidR="0015620D">
        <w:rPr>
          <w:rFonts w:ascii="Times New Roman" w:hAnsi="Times New Roman" w:cs="Times New Roman"/>
          <w:sz w:val="18"/>
          <w:szCs w:val="18"/>
        </w:rPr>
        <w:t> </w:t>
      </w:r>
      <w:r w:rsidRPr="00F84E4F">
        <w:rPr>
          <w:rFonts w:ascii="Times New Roman" w:hAnsi="Times New Roman" w:cs="Times New Roman"/>
          <w:sz w:val="18"/>
          <w:szCs w:val="18"/>
        </w:rPr>
        <w:t>vzhľad</w:t>
      </w:r>
      <w:r w:rsidR="0015620D">
        <w:rPr>
          <w:rFonts w:ascii="Times New Roman" w:hAnsi="Times New Roman" w:cs="Times New Roman"/>
          <w:sz w:val="18"/>
          <w:szCs w:val="18"/>
        </w:rPr>
        <w:t>;</w:t>
      </w:r>
    </w:p>
    <w:p w:rsidR="00001E9B" w:rsidRDefault="00710D9A" w:rsidP="00710D9A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Hmotný majetok napr. ako súčasť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informačno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– komunikačnej infraštruktúry (tzv. hardvér), ktorý nie je neoddeliteľnou súčasťou infraštruktúry ako aj n</w:t>
      </w:r>
      <w:r w:rsidR="00001E9B" w:rsidRPr="00F84E4F">
        <w:rPr>
          <w:rFonts w:ascii="Times New Roman" w:hAnsi="Times New Roman" w:cs="Times New Roman"/>
          <w:sz w:val="18"/>
          <w:szCs w:val="18"/>
        </w:rPr>
        <w:t xml:space="preserve">ehmotný majetok (majetok nemateriálnej povahy) ako je napríklad softvér, IT systémy nespadá do definície infraštruktúry. </w:t>
      </w:r>
    </w:p>
    <w:p w:rsidR="00303556" w:rsidRPr="00F84E4F" w:rsidRDefault="00303556" w:rsidP="00001E9B">
      <w:pPr>
        <w:pStyle w:val="Textpoznmkypodi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573D4">
        <w:rPr>
          <w:rFonts w:ascii="Times New Roman" w:hAnsi="Times New Roman" w:cs="Times New Roman"/>
          <w:sz w:val="18"/>
          <w:szCs w:val="18"/>
        </w:rPr>
        <w:t>Z nadobudnutej infraštruktúry, nehnuteľnosti a pozemkov nie je povolené generovať príjem.</w:t>
      </w:r>
    </w:p>
  </w:footnote>
  <w:footnote w:id="5">
    <w:p w:rsidR="00295252" w:rsidRPr="00295252" w:rsidRDefault="00295252" w:rsidP="0015620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 w:rsidR="006274C2">
        <w:t xml:space="preserve"> </w:t>
      </w:r>
      <w:r w:rsidR="006274C2" w:rsidRPr="006274C2">
        <w:rPr>
          <w:rFonts w:ascii="Times New Roman" w:hAnsi="Times New Roman" w:cs="Times New Roman"/>
          <w:sz w:val="18"/>
          <w:szCs w:val="18"/>
        </w:rPr>
        <w:t xml:space="preserve">Žiadateľ / </w:t>
      </w:r>
      <w:r w:rsidRPr="00295252">
        <w:rPr>
          <w:rFonts w:ascii="Times New Roman" w:hAnsi="Times New Roman" w:cs="Times New Roman"/>
          <w:sz w:val="18"/>
          <w:szCs w:val="18"/>
        </w:rPr>
        <w:t xml:space="preserve">Prijímateľ </w:t>
      </w:r>
      <w:r w:rsidR="006274C2">
        <w:rPr>
          <w:rFonts w:ascii="Times New Roman" w:hAnsi="Times New Roman" w:cs="Times New Roman"/>
          <w:sz w:val="18"/>
          <w:szCs w:val="18"/>
        </w:rPr>
        <w:t xml:space="preserve">uvedený postup </w:t>
      </w:r>
      <w:r w:rsidRPr="00295252">
        <w:rPr>
          <w:rFonts w:ascii="Times New Roman" w:hAnsi="Times New Roman" w:cs="Times New Roman"/>
          <w:sz w:val="18"/>
          <w:szCs w:val="18"/>
        </w:rPr>
        <w:t>využije</w:t>
      </w:r>
      <w:r w:rsidRPr="006274C2">
        <w:rPr>
          <w:rFonts w:ascii="Times New Roman" w:hAnsi="Times New Roman" w:cs="Times New Roman"/>
          <w:sz w:val="18"/>
          <w:szCs w:val="18"/>
        </w:rPr>
        <w:t xml:space="preserve"> </w:t>
      </w:r>
      <w:r w:rsidRPr="00295252">
        <w:rPr>
          <w:rFonts w:ascii="Times New Roman" w:hAnsi="Times New Roman" w:cs="Times New Roman"/>
          <w:sz w:val="18"/>
          <w:szCs w:val="18"/>
        </w:rPr>
        <w:t xml:space="preserve">iba v prípade, ak </w:t>
      </w:r>
      <w:r w:rsidR="0015620D">
        <w:rPr>
          <w:rFonts w:ascii="Times New Roman" w:hAnsi="Times New Roman" w:cs="Times New Roman"/>
          <w:sz w:val="18"/>
          <w:szCs w:val="18"/>
        </w:rPr>
        <w:t xml:space="preserve">zabezpečenie </w:t>
      </w:r>
      <w:proofErr w:type="spellStart"/>
      <w:r w:rsidR="0015620D">
        <w:rPr>
          <w:rFonts w:ascii="Times New Roman" w:hAnsi="Times New Roman" w:cs="Times New Roman"/>
          <w:sz w:val="18"/>
          <w:szCs w:val="18"/>
        </w:rPr>
        <w:t>administratívno</w:t>
      </w:r>
      <w:proofErr w:type="spellEnd"/>
      <w:r w:rsidR="0015620D">
        <w:rPr>
          <w:rFonts w:ascii="Times New Roman" w:hAnsi="Times New Roman" w:cs="Times New Roman"/>
          <w:sz w:val="18"/>
          <w:szCs w:val="18"/>
        </w:rPr>
        <w:t xml:space="preserve"> – technických priestorov pre uspokojivú realizáciu oprávnených aktivít</w:t>
      </w:r>
      <w:r>
        <w:rPr>
          <w:rFonts w:ascii="Times New Roman" w:hAnsi="Times New Roman" w:cs="Times New Roman"/>
          <w:sz w:val="18"/>
          <w:szCs w:val="18"/>
        </w:rPr>
        <w:t xml:space="preserve"> nie je </w:t>
      </w:r>
      <w:r w:rsidRPr="00295252">
        <w:rPr>
          <w:rFonts w:ascii="Times New Roman" w:hAnsi="Times New Roman" w:cs="Times New Roman"/>
          <w:sz w:val="18"/>
          <w:szCs w:val="18"/>
        </w:rPr>
        <w:t xml:space="preserve">možné </w:t>
      </w:r>
      <w:r w:rsidR="0015620D">
        <w:rPr>
          <w:rFonts w:ascii="Times New Roman" w:hAnsi="Times New Roman" w:cs="Times New Roman"/>
          <w:sz w:val="18"/>
          <w:szCs w:val="18"/>
        </w:rPr>
        <w:t xml:space="preserve">na základe objektívne zdôvodniteľných skutočností </w:t>
      </w:r>
      <w:r w:rsidRPr="00295252">
        <w:rPr>
          <w:rFonts w:ascii="Times New Roman" w:hAnsi="Times New Roman" w:cs="Times New Roman"/>
          <w:sz w:val="18"/>
          <w:szCs w:val="18"/>
        </w:rPr>
        <w:t xml:space="preserve">pre účely projektu zabezpečiť </w:t>
      </w:r>
      <w:r w:rsidR="0015620D">
        <w:rPr>
          <w:rFonts w:ascii="Times New Roman" w:hAnsi="Times New Roman" w:cs="Times New Roman"/>
          <w:sz w:val="18"/>
          <w:szCs w:val="18"/>
        </w:rPr>
        <w:t>prostredníctvom štandardnej intervencie ESF</w:t>
      </w:r>
      <w:r w:rsidRPr="00295252">
        <w:rPr>
          <w:rFonts w:ascii="Times New Roman" w:hAnsi="Times New Roman" w:cs="Times New Roman"/>
          <w:sz w:val="18"/>
          <w:szCs w:val="18"/>
        </w:rPr>
        <w:t xml:space="preserve"> (napr. nájmom</w:t>
      </w:r>
      <w:r w:rsidR="008D7AF6">
        <w:rPr>
          <w:rFonts w:ascii="Times New Roman" w:hAnsi="Times New Roman" w:cs="Times New Roman"/>
          <w:sz w:val="18"/>
          <w:szCs w:val="18"/>
        </w:rPr>
        <w:t xml:space="preserve"> priestorov</w:t>
      </w:r>
      <w:r w:rsidRPr="00295252">
        <w:rPr>
          <w:rFonts w:ascii="Times New Roman" w:hAnsi="Times New Roman" w:cs="Times New Roman"/>
          <w:sz w:val="18"/>
          <w:szCs w:val="18"/>
        </w:rPr>
        <w:t xml:space="preserve">, poskytnutím služby a pod.).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0A" w:rsidRDefault="00533A0A" w:rsidP="00534853">
    <w:pPr>
      <w:pStyle w:val="Hlavika"/>
      <w:jc w:val="right"/>
      <w:rPr>
        <w:rFonts w:cstheme="minorHAnsi"/>
      </w:rPr>
    </w:pPr>
  </w:p>
  <w:p w:rsidR="00071D07" w:rsidRDefault="00071D07" w:rsidP="00071D07">
    <w:pPr>
      <w:pStyle w:val="Hlavika"/>
      <w:jc w:val="right"/>
    </w:pPr>
    <w:r>
      <w:t xml:space="preserve"> </w:t>
    </w:r>
  </w:p>
  <w:p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49E2C1C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E49C7"/>
    <w:multiLevelType w:val="hybridMultilevel"/>
    <w:tmpl w:val="461AC02C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1E9B"/>
    <w:rsid w:val="00002B12"/>
    <w:rsid w:val="000073D5"/>
    <w:rsid w:val="00042028"/>
    <w:rsid w:val="000430D6"/>
    <w:rsid w:val="000530D2"/>
    <w:rsid w:val="0005439B"/>
    <w:rsid w:val="00055108"/>
    <w:rsid w:val="000558C8"/>
    <w:rsid w:val="00056C78"/>
    <w:rsid w:val="00064C06"/>
    <w:rsid w:val="00065B51"/>
    <w:rsid w:val="00071D07"/>
    <w:rsid w:val="00075F2B"/>
    <w:rsid w:val="00075F61"/>
    <w:rsid w:val="0007694F"/>
    <w:rsid w:val="000B729D"/>
    <w:rsid w:val="000C2D25"/>
    <w:rsid w:val="000F6065"/>
    <w:rsid w:val="000F7E02"/>
    <w:rsid w:val="00124B0F"/>
    <w:rsid w:val="0013232E"/>
    <w:rsid w:val="00145C45"/>
    <w:rsid w:val="00147A08"/>
    <w:rsid w:val="0015620D"/>
    <w:rsid w:val="00157CF3"/>
    <w:rsid w:val="00164751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479A6"/>
    <w:rsid w:val="002573D4"/>
    <w:rsid w:val="00267469"/>
    <w:rsid w:val="002768E3"/>
    <w:rsid w:val="00291322"/>
    <w:rsid w:val="00291CC9"/>
    <w:rsid w:val="00295252"/>
    <w:rsid w:val="002A14EF"/>
    <w:rsid w:val="002A60F6"/>
    <w:rsid w:val="002D4CDD"/>
    <w:rsid w:val="002E18D5"/>
    <w:rsid w:val="002E4F14"/>
    <w:rsid w:val="002F08AE"/>
    <w:rsid w:val="002F30C1"/>
    <w:rsid w:val="002F42A4"/>
    <w:rsid w:val="00303556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A3747"/>
    <w:rsid w:val="003C41A1"/>
    <w:rsid w:val="003D0AEC"/>
    <w:rsid w:val="003E0AEC"/>
    <w:rsid w:val="003E0CEA"/>
    <w:rsid w:val="003E7117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7C6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274C2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0D9A"/>
    <w:rsid w:val="007161E1"/>
    <w:rsid w:val="007242A5"/>
    <w:rsid w:val="00725B90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D7AF6"/>
    <w:rsid w:val="008E078A"/>
    <w:rsid w:val="008E7ABB"/>
    <w:rsid w:val="008F0C2B"/>
    <w:rsid w:val="008F4EBD"/>
    <w:rsid w:val="009032BF"/>
    <w:rsid w:val="0091770E"/>
    <w:rsid w:val="00921BA5"/>
    <w:rsid w:val="009358F2"/>
    <w:rsid w:val="009360C6"/>
    <w:rsid w:val="00944AA4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3C42"/>
    <w:rsid w:val="00AB7496"/>
    <w:rsid w:val="00AE5181"/>
    <w:rsid w:val="00AF3264"/>
    <w:rsid w:val="00B0124C"/>
    <w:rsid w:val="00B05E57"/>
    <w:rsid w:val="00B06F66"/>
    <w:rsid w:val="00B243DE"/>
    <w:rsid w:val="00B330D2"/>
    <w:rsid w:val="00B37597"/>
    <w:rsid w:val="00B401D4"/>
    <w:rsid w:val="00B40DA2"/>
    <w:rsid w:val="00B529E0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C073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02A0"/>
    <w:rsid w:val="00F23EBE"/>
    <w:rsid w:val="00F344FA"/>
    <w:rsid w:val="00F358D5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F0BC1-AAAF-4E89-BA25-323F72D9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Miruška Hrabčáková</cp:lastModifiedBy>
  <cp:revision>4</cp:revision>
  <cp:lastPrinted>2019-10-24T09:18:00Z</cp:lastPrinted>
  <dcterms:created xsi:type="dcterms:W3CDTF">2019-10-18T08:48:00Z</dcterms:created>
  <dcterms:modified xsi:type="dcterms:W3CDTF">2019-10-24T09:24:00Z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