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</w:t>
            </w:r>
            <w:r w:rsidRPr="003E40E3">
              <w:rPr>
                <w:sz w:val="18"/>
                <w:szCs w:val="18"/>
              </w:rPr>
              <w:lastRenderedPageBreak/>
              <w:t>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953ED8" w:rsidRPr="0075785C" w:rsidTr="00280976">
        <w:tc>
          <w:tcPr>
            <w:tcW w:w="704" w:type="dxa"/>
          </w:tcPr>
          <w:p w:rsidR="00953ED8" w:rsidRDefault="00953ED8" w:rsidP="0095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– </w:t>
            </w:r>
            <w:r>
              <w:rPr>
                <w:color w:val="FF0000"/>
                <w:sz w:val="22"/>
                <w:szCs w:val="22"/>
              </w:rPr>
              <w:t xml:space="preserve">Žiadateľ pole vyplní obdobne ako komentár k rozpočtu a spôsobu výpočtu položky/skupiny výdavkov na základe pokynov k spôsobu vyplnenia vo vedľajšom stĺpci. </w:t>
            </w:r>
          </w:p>
          <w:p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  <w:p w:rsidR="00953ED8" w:rsidRDefault="00953ED8" w:rsidP="00953ED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color w:val="FF0000"/>
                <w:sz w:val="22"/>
                <w:szCs w:val="22"/>
              </w:rPr>
              <w:t>Platí však, že usmernenia k spôsobu vyplnenia  majú prednosť pred Príru</w:t>
            </w:r>
            <w:bookmarkStart w:id="0" w:name="_GoBack"/>
            <w:bookmarkEnd w:id="0"/>
            <w:r>
              <w:rPr>
                <w:color w:val="FF0000"/>
                <w:sz w:val="22"/>
                <w:szCs w:val="22"/>
              </w:rPr>
              <w:t>čkou pre žiadateľa</w:t>
            </w:r>
            <w:r>
              <w:rPr>
                <w:rFonts w:ascii="Roboto" w:hAnsi="Roboto" w:cs="Roboto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953ED8" w:rsidRDefault="00953ED8" w:rsidP="00953ED8">
            <w:r>
              <w:rPr>
                <w:sz w:val="18"/>
                <w:szCs w:val="18"/>
              </w:rPr>
              <w:t>Vypĺňa žiadateľ</w:t>
            </w:r>
            <w:r>
              <w:t xml:space="preserve"> </w:t>
            </w:r>
          </w:p>
          <w:p w:rsidR="00953ED8" w:rsidRDefault="00953ED8" w:rsidP="00953ED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Upozornenie: </w:t>
            </w:r>
            <w:r>
              <w:rPr>
                <w:b/>
                <w:color w:val="FF0000"/>
                <w:sz w:val="22"/>
                <w:szCs w:val="22"/>
              </w:rPr>
              <w:br/>
            </w:r>
            <w:r>
              <w:rPr>
                <w:color w:val="FF0000"/>
                <w:sz w:val="22"/>
                <w:szCs w:val="22"/>
              </w:rPr>
              <w:t>Pole je možné vyplniť maximálne v rozsahu 250 znakov</w:t>
            </w:r>
            <w:r>
              <w:rPr>
                <w:b/>
                <w:color w:val="FF0000"/>
                <w:sz w:val="20"/>
                <w:szCs w:val="20"/>
              </w:rPr>
              <w:t xml:space="preserve">. </w:t>
            </w:r>
          </w:p>
          <w:p w:rsidR="00953ED8" w:rsidRPr="00953ED8" w:rsidRDefault="00953ED8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Spôsob vyplnenia - skupina výdavkov 521</w:t>
            </w:r>
            <w:r>
              <w:rPr>
                <w:color w:val="FF0000"/>
                <w:sz w:val="22"/>
                <w:szCs w:val="22"/>
              </w:rPr>
              <w:t xml:space="preserve"> - Mzdové výdavky (žiadateľ), resp. </w:t>
            </w:r>
            <w:r>
              <w:rPr>
                <w:b/>
                <w:color w:val="FF0000"/>
                <w:sz w:val="22"/>
                <w:szCs w:val="22"/>
              </w:rPr>
              <w:t xml:space="preserve">skupina výdavkov 352 </w:t>
            </w:r>
            <w:r>
              <w:rPr>
                <w:color w:val="FF0000"/>
                <w:sz w:val="22"/>
                <w:szCs w:val="22"/>
              </w:rPr>
              <w:t>–</w:t>
            </w:r>
            <w:r w:rsidRPr="00953ED8">
              <w:rPr>
                <w:color w:val="FF0000"/>
                <w:sz w:val="22"/>
                <w:szCs w:val="22"/>
              </w:rPr>
              <w:t xml:space="preserve"> Transfery</w:t>
            </w:r>
            <w:r>
              <w:rPr>
                <w:color w:val="FF0000"/>
                <w:sz w:val="22"/>
                <w:szCs w:val="22"/>
              </w:rPr>
              <w:t xml:space="preserve"> (partner)</w:t>
            </w:r>
          </w:p>
          <w:p w:rsidR="002F5B9A" w:rsidRDefault="002F5B9A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Žiadateľ / partner (v rámci svojej rozpočtovej položky pre skupinu výdavkov 521 a 352) uvedie do poznámky nasledujúce údaje v súlade s Plánom čerpania výdavkov:</w:t>
            </w:r>
          </w:p>
          <w:p w:rsidR="00953ED8" w:rsidRDefault="002F5B9A" w:rsidP="002F5B9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sumu zrealizovaných výdavkov do predloženia </w:t>
            </w:r>
            <w:proofErr w:type="spellStart"/>
            <w:r>
              <w:rPr>
                <w:color w:val="FF0000"/>
              </w:rPr>
              <w:t>ŽoNFP</w:t>
            </w:r>
            <w:proofErr w:type="spellEnd"/>
            <w:r>
              <w:rPr>
                <w:color w:val="FF0000"/>
              </w:rPr>
              <w:t>;</w:t>
            </w:r>
          </w:p>
          <w:p w:rsidR="002F5B9A" w:rsidRDefault="002F5B9A" w:rsidP="002F5B9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sumu </w:t>
            </w:r>
            <w:r>
              <w:rPr>
                <w:color w:val="FF0000"/>
              </w:rPr>
              <w:t>predpokladaných</w:t>
            </w:r>
            <w:r>
              <w:rPr>
                <w:color w:val="FF0000"/>
              </w:rPr>
              <w:t xml:space="preserve"> výdavkov</w:t>
            </w:r>
            <w:r>
              <w:rPr>
                <w:color w:val="FF0000"/>
              </w:rPr>
              <w:t xml:space="preserve"> čerpaných počas implementácie projektu pod nadobudnutí platnosti a účinnosti rozhodnutia</w:t>
            </w:r>
            <w:r>
              <w:rPr>
                <w:color w:val="FF0000"/>
              </w:rPr>
              <w:t xml:space="preserve"> do </w:t>
            </w:r>
            <w:r>
              <w:rPr>
                <w:color w:val="FF0000"/>
              </w:rPr>
              <w:t>konca realizácie aktivít projektu</w:t>
            </w:r>
            <w:r>
              <w:rPr>
                <w:color w:val="FF0000"/>
              </w:rPr>
              <w:t>;</w:t>
            </w:r>
          </w:p>
          <w:p w:rsidR="002F5B9A" w:rsidRPr="002F5B9A" w:rsidRDefault="002F5B9A" w:rsidP="002F5B9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suma spolu</w:t>
            </w:r>
          </w:p>
          <w:p w:rsidR="00953ED8" w:rsidRDefault="00953ED8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Príklady komentára a vzorcov pre  výpočet  sumy oprávneného výdavku:</w:t>
            </w:r>
          </w:p>
          <w:p w:rsidR="002F5B9A" w:rsidRDefault="00953ED8" w:rsidP="00953ED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1 . </w:t>
            </w:r>
            <w:r w:rsidR="002F5B9A">
              <w:rPr>
                <w:color w:val="FF0000"/>
                <w:sz w:val="22"/>
                <w:szCs w:val="22"/>
              </w:rPr>
              <w:t>Mzdové výdavky v súlade s Plánom čerpania:</w:t>
            </w:r>
          </w:p>
          <w:p w:rsidR="00953ED8" w:rsidRPr="002F5B9A" w:rsidRDefault="002F5B9A" w:rsidP="002F5B9A">
            <w:pPr>
              <w:pStyle w:val="Odsekzoznamu"/>
              <w:numPr>
                <w:ilvl w:val="1"/>
                <w:numId w:val="3"/>
              </w:numPr>
              <w:spacing w:after="0" w:line="240" w:lineRule="auto"/>
              <w:rPr>
                <w:color w:val="FF0000"/>
              </w:rPr>
            </w:pPr>
            <w:r w:rsidRPr="002F5B9A">
              <w:rPr>
                <w:color w:val="FF0000"/>
              </w:rPr>
              <w:t xml:space="preserve">Zrealizované výdavky do predloženia </w:t>
            </w:r>
            <w:proofErr w:type="spellStart"/>
            <w:r w:rsidRPr="002F5B9A">
              <w:rPr>
                <w:color w:val="FF0000"/>
              </w:rPr>
              <w:t>ŽoNFP</w:t>
            </w:r>
            <w:proofErr w:type="spellEnd"/>
            <w:r w:rsidRPr="002F5B9A">
              <w:rPr>
                <w:color w:val="FF0000"/>
              </w:rPr>
              <w:t>: XXX</w:t>
            </w:r>
            <w:r>
              <w:rPr>
                <w:color w:val="FF0000"/>
              </w:rPr>
              <w:t> 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,</w:t>
            </w:r>
            <w:r w:rsidRPr="002F5B9A">
              <w:rPr>
                <w:color w:val="FF0000"/>
              </w:rPr>
              <w:t>XX EUR</w:t>
            </w:r>
            <w:r w:rsidR="00953ED8" w:rsidRPr="002F5B9A">
              <w:rPr>
                <w:color w:val="FF0000"/>
              </w:rPr>
              <w:t>;</w:t>
            </w:r>
          </w:p>
          <w:p w:rsidR="002F5B9A" w:rsidRDefault="002F5B9A" w:rsidP="002F5B9A">
            <w:pPr>
              <w:pStyle w:val="Odsekzoznamu"/>
              <w:numPr>
                <w:ilvl w:val="1"/>
                <w:numId w:val="3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Predpokladané ďalšie výdavky: 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 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,</w:t>
            </w:r>
            <w:r w:rsidRPr="002F5B9A">
              <w:rPr>
                <w:color w:val="FF0000"/>
              </w:rPr>
              <w:t>XX EUR;</w:t>
            </w:r>
          </w:p>
          <w:p w:rsidR="002F5B9A" w:rsidRPr="002F5B9A" w:rsidRDefault="002F5B9A" w:rsidP="002F5B9A">
            <w:pPr>
              <w:pStyle w:val="Odsekzoznamu"/>
              <w:numPr>
                <w:ilvl w:val="1"/>
                <w:numId w:val="3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Celkové výdavky za položku spolu: 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 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,</w:t>
            </w:r>
            <w:r w:rsidRPr="002F5B9A">
              <w:rPr>
                <w:color w:val="FF0000"/>
              </w:rPr>
              <w:t>XX EUR;</w:t>
            </w:r>
          </w:p>
          <w:p w:rsidR="00953ED8" w:rsidRDefault="00953ED8" w:rsidP="002F5B9A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2. </w:t>
            </w:r>
            <w:r w:rsidR="002F5B9A">
              <w:rPr>
                <w:color w:val="FF0000"/>
                <w:sz w:val="22"/>
                <w:szCs w:val="22"/>
              </w:rPr>
              <w:t xml:space="preserve">Transfery </w:t>
            </w:r>
            <w:r w:rsidR="002F5B9A">
              <w:rPr>
                <w:color w:val="FF0000"/>
                <w:sz w:val="22"/>
                <w:szCs w:val="22"/>
              </w:rPr>
              <w:t>v súlade s Plánom čerpania:</w:t>
            </w:r>
          </w:p>
          <w:p w:rsidR="002F5B9A" w:rsidRPr="002F5B9A" w:rsidRDefault="002F5B9A" w:rsidP="002F5B9A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vanish/>
                <w:color w:val="FF0000"/>
              </w:rPr>
            </w:pPr>
          </w:p>
          <w:p w:rsidR="002F5B9A" w:rsidRDefault="002F5B9A" w:rsidP="002F5B9A">
            <w:pPr>
              <w:pStyle w:val="Odsekzoznamu"/>
              <w:numPr>
                <w:ilvl w:val="1"/>
                <w:numId w:val="3"/>
              </w:numPr>
              <w:spacing w:after="0" w:line="240" w:lineRule="auto"/>
              <w:rPr>
                <w:color w:val="FF0000"/>
              </w:rPr>
            </w:pPr>
            <w:r w:rsidRPr="002F5B9A">
              <w:rPr>
                <w:color w:val="FF0000"/>
              </w:rPr>
              <w:t xml:space="preserve">Zrealizované výdavky do predloženia </w:t>
            </w:r>
            <w:proofErr w:type="spellStart"/>
            <w:r w:rsidRPr="002F5B9A">
              <w:rPr>
                <w:color w:val="FF0000"/>
              </w:rPr>
              <w:t>ŽoNFP</w:t>
            </w:r>
            <w:proofErr w:type="spellEnd"/>
            <w:r w:rsidRPr="002F5B9A">
              <w:rPr>
                <w:color w:val="FF0000"/>
              </w:rPr>
              <w:t>: XXX XXX,XX EUR;</w:t>
            </w:r>
            <w:r>
              <w:rPr>
                <w:color w:val="FF0000"/>
              </w:rPr>
              <w:t xml:space="preserve"> </w:t>
            </w:r>
          </w:p>
          <w:p w:rsidR="002F5B9A" w:rsidRDefault="002F5B9A" w:rsidP="002F5B9A">
            <w:pPr>
              <w:pStyle w:val="Odsekzoznamu"/>
              <w:numPr>
                <w:ilvl w:val="1"/>
                <w:numId w:val="3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Predpokladané ďalšie výdavky: 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 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,</w:t>
            </w:r>
            <w:r w:rsidRPr="002F5B9A">
              <w:rPr>
                <w:color w:val="FF0000"/>
              </w:rPr>
              <w:t>XX EUR;</w:t>
            </w:r>
          </w:p>
          <w:p w:rsidR="002F5B9A" w:rsidRPr="002F5B9A" w:rsidRDefault="002F5B9A" w:rsidP="002F5B9A">
            <w:pPr>
              <w:pStyle w:val="Odsekzoznamu"/>
              <w:numPr>
                <w:ilvl w:val="1"/>
                <w:numId w:val="3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Celkové výdavky za položku spolu: 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 </w:t>
            </w:r>
            <w:r w:rsidRPr="002F5B9A">
              <w:rPr>
                <w:color w:val="FF0000"/>
              </w:rPr>
              <w:t>XXX</w:t>
            </w:r>
            <w:r>
              <w:rPr>
                <w:color w:val="FF0000"/>
              </w:rPr>
              <w:t>,</w:t>
            </w:r>
            <w:r w:rsidRPr="002F5B9A">
              <w:rPr>
                <w:color w:val="FF0000"/>
              </w:rPr>
              <w:t>XX EUR;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2E78BF" w:rsidRDefault="002E78BF" w:rsidP="000F421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E78BF">
              <w:rPr>
                <w:sz w:val="18"/>
                <w:szCs w:val="18"/>
              </w:rPr>
              <w:t>žiadateľ nie je evidovaný v Systéme včasného odhaľovania rizika a vylúčenia (EDES) ako vylúčená osoba alebo subjekt (v zmysle článku 135 a nasledujúcich nariadenia č. 2018/1046)</w:t>
            </w:r>
            <w:r w:rsidR="00D43FA8">
              <w:rPr>
                <w:sz w:val="18"/>
                <w:szCs w:val="18"/>
              </w:rPr>
              <w:t>,</w:t>
            </w:r>
          </w:p>
          <w:p w:rsidR="00ED6336" w:rsidRPr="002E78BF" w:rsidRDefault="00BD2304" w:rsidP="00D43FA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</w:t>
            </w:r>
            <w:r w:rsidRPr="00BD2304">
              <w:rPr>
                <w:sz w:val="18"/>
                <w:szCs w:val="18"/>
              </w:rPr>
              <w:t xml:space="preserve"> ani žiadny jeho štatutárny orgán, ani  člen štatutárneho orgánu, ani osoba splnomocnená zastupovať partnera v konaní o </w:t>
            </w:r>
            <w:proofErr w:type="spellStart"/>
            <w:r w:rsidRPr="00BD2304">
              <w:rPr>
                <w:sz w:val="18"/>
                <w:szCs w:val="18"/>
              </w:rPr>
              <w:t>ŽoNFP</w:t>
            </w:r>
            <w:proofErr w:type="spellEnd"/>
            <w:r w:rsidRPr="00BD2304">
              <w:rPr>
                <w:sz w:val="18"/>
                <w:szCs w:val="18"/>
              </w:rPr>
              <w:t xml:space="preserve">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</w:t>
            </w:r>
            <w:r w:rsidR="00D43FA8">
              <w:rPr>
                <w:sz w:val="18"/>
                <w:szCs w:val="18"/>
              </w:rPr>
              <w:t xml:space="preserve"> 266 až § 268 Trestného zákona).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 xml:space="preserve">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27" w:rsidRDefault="00021E27" w:rsidP="006B0271">
      <w:pPr>
        <w:spacing w:after="0" w:line="240" w:lineRule="auto"/>
      </w:pPr>
      <w:r>
        <w:separator/>
      </w:r>
    </w:p>
  </w:endnote>
  <w:endnote w:type="continuationSeparator" w:id="0">
    <w:p w:rsidR="00021E27" w:rsidRDefault="00021E27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27" w:rsidRDefault="00021E27" w:rsidP="006B0271">
      <w:pPr>
        <w:spacing w:after="0" w:line="240" w:lineRule="auto"/>
      </w:pPr>
      <w:r>
        <w:separator/>
      </w:r>
    </w:p>
  </w:footnote>
  <w:footnote w:type="continuationSeparator" w:id="0">
    <w:p w:rsidR="00021E27" w:rsidRDefault="00021E27" w:rsidP="006B0271">
      <w:pPr>
        <w:spacing w:after="0" w:line="240" w:lineRule="auto"/>
      </w:pPr>
      <w:r>
        <w:continuationSeparator/>
      </w:r>
    </w:p>
  </w:footnote>
  <w:footnote w:id="1">
    <w:p w:rsidR="00953ED8" w:rsidRPr="00AD41AC" w:rsidRDefault="00953ED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953ED8" w:rsidRDefault="00953ED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D8" w:rsidRDefault="00953ED8">
    <w:pPr>
      <w:pStyle w:val="Hlavika"/>
    </w:pPr>
  </w:p>
  <w:p w:rsidR="00953ED8" w:rsidRDefault="00953ED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D8" w:rsidRDefault="00953ED8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  <w:r>
      <w:rPr>
        <w:sz w:val="22"/>
        <w:szCs w:val="22"/>
      </w:rPr>
      <w:t>Príloha č. 1</w:t>
    </w:r>
  </w:p>
  <w:p w:rsidR="00953ED8" w:rsidRDefault="00953ED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22AC4"/>
    <w:multiLevelType w:val="hybridMultilevel"/>
    <w:tmpl w:val="FD16E388"/>
    <w:lvl w:ilvl="0" w:tplc="D29E84F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36E3E"/>
    <w:multiLevelType w:val="multilevel"/>
    <w:tmpl w:val="112642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21E27"/>
    <w:rsid w:val="000372E1"/>
    <w:rsid w:val="0004125C"/>
    <w:rsid w:val="00047466"/>
    <w:rsid w:val="00050DF8"/>
    <w:rsid w:val="000526CB"/>
    <w:rsid w:val="00077FFA"/>
    <w:rsid w:val="00083EE0"/>
    <w:rsid w:val="00087CC7"/>
    <w:rsid w:val="000B12C1"/>
    <w:rsid w:val="000D49D8"/>
    <w:rsid w:val="000F4218"/>
    <w:rsid w:val="0013199A"/>
    <w:rsid w:val="001327E7"/>
    <w:rsid w:val="001358DC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081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E78BF"/>
    <w:rsid w:val="002F5B9A"/>
    <w:rsid w:val="00304DB9"/>
    <w:rsid w:val="0031055B"/>
    <w:rsid w:val="00311599"/>
    <w:rsid w:val="003230AE"/>
    <w:rsid w:val="0032665F"/>
    <w:rsid w:val="0033595E"/>
    <w:rsid w:val="00341AE3"/>
    <w:rsid w:val="00343C3C"/>
    <w:rsid w:val="00351D38"/>
    <w:rsid w:val="00352449"/>
    <w:rsid w:val="00356928"/>
    <w:rsid w:val="003607CF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07870"/>
    <w:rsid w:val="00411FDE"/>
    <w:rsid w:val="00417ACB"/>
    <w:rsid w:val="00420AD3"/>
    <w:rsid w:val="00437098"/>
    <w:rsid w:val="004612E7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26D7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252D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2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17A9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E2981"/>
    <w:rsid w:val="008F1DC6"/>
    <w:rsid w:val="008F2334"/>
    <w:rsid w:val="008F4837"/>
    <w:rsid w:val="00926B1C"/>
    <w:rsid w:val="00933680"/>
    <w:rsid w:val="00953980"/>
    <w:rsid w:val="00953ED8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D2304"/>
    <w:rsid w:val="00BE7F24"/>
    <w:rsid w:val="00C12BE2"/>
    <w:rsid w:val="00C22DB6"/>
    <w:rsid w:val="00C411B2"/>
    <w:rsid w:val="00C411DA"/>
    <w:rsid w:val="00C51BCC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43FA8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90996"/>
    <w:rsid w:val="00ED4B0B"/>
    <w:rsid w:val="00ED6336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41888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11D5D-34F8-4DF5-8890-72867E59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4922</Words>
  <Characters>28061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2021-08-23T08:15:00Z</dcterms:created>
  <dcterms:modified xsi:type="dcterms:W3CDTF">2021-08-27T07:19:00Z</dcterms:modified>
</cp:coreProperties>
</file>