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3018E4E4" w:rsidR="00AA09DF" w:rsidRPr="00C1434A" w:rsidRDefault="00AA09DF" w:rsidP="00BD031D">
      <w:pPr>
        <w:pStyle w:val="Hlavika"/>
        <w:rPr>
          <w:rFonts w:ascii="Times New Roman" w:hAnsi="Times New Roman" w:cs="Times New Roman"/>
          <w:b/>
        </w:rPr>
      </w:pPr>
      <w:bookmarkStart w:id="0" w:name="_GoBack"/>
      <w:bookmarkEnd w:id="0"/>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3"/>
        <w:gridCol w:w="591"/>
        <w:gridCol w:w="1290"/>
        <w:gridCol w:w="3023"/>
        <w:gridCol w:w="2023"/>
        <w:gridCol w:w="2174"/>
        <w:gridCol w:w="1290"/>
        <w:gridCol w:w="2412"/>
      </w:tblGrid>
      <w:tr w:rsidR="00AA09DF" w:rsidRPr="002D0719" w14:paraId="1BC459F2" w14:textId="77777777" w:rsidTr="00D04AB3">
        <w:trPr>
          <w:trHeight w:val="369"/>
        </w:trPr>
        <w:tc>
          <w:tcPr>
            <w:tcW w:w="14216" w:type="dxa"/>
            <w:gridSpan w:val="8"/>
          </w:tcPr>
          <w:p w14:paraId="1BC459F1"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BC459F5" w14:textId="77777777" w:rsidTr="005F2DAC">
        <w:trPr>
          <w:trHeight w:val="404"/>
        </w:trPr>
        <w:tc>
          <w:tcPr>
            <w:tcW w:w="2004" w:type="dxa"/>
            <w:gridSpan w:val="2"/>
          </w:tcPr>
          <w:p w14:paraId="1BC459F3"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 xml:space="preserve">Operačný program </w:t>
            </w:r>
          </w:p>
        </w:tc>
        <w:tc>
          <w:tcPr>
            <w:tcW w:w="12212" w:type="dxa"/>
            <w:gridSpan w:val="6"/>
          </w:tcPr>
          <w:p w14:paraId="1BC459F4"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1BC459F8" w14:textId="77777777" w:rsidTr="005F2DAC">
        <w:trPr>
          <w:trHeight w:val="311"/>
        </w:trPr>
        <w:tc>
          <w:tcPr>
            <w:tcW w:w="2004" w:type="dxa"/>
            <w:gridSpan w:val="2"/>
          </w:tcPr>
          <w:p w14:paraId="1BC459F6"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Prioritná os</w:t>
            </w:r>
          </w:p>
        </w:tc>
        <w:tc>
          <w:tcPr>
            <w:tcW w:w="12212" w:type="dxa"/>
            <w:gridSpan w:val="6"/>
          </w:tcPr>
          <w:p w14:paraId="1BC459F7" w14:textId="217ECC11" w:rsidR="00AA09DF" w:rsidRPr="002D0719" w:rsidRDefault="00A003D8" w:rsidP="00A166E6">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DA2B57" w:rsidRPr="00E8208F">
              <w:rPr>
                <w:rFonts w:ascii="Times New Roman" w:hAnsi="Times New Roman" w:cs="Times New Roman"/>
              </w:rPr>
              <w:t>Posilnené inštitucionálne kapacity a efektívna VS</w:t>
            </w:r>
          </w:p>
        </w:tc>
      </w:tr>
      <w:tr w:rsidR="00AA09DF" w:rsidRPr="002D0719" w14:paraId="1BC459FB" w14:textId="77777777" w:rsidTr="005F2DAC">
        <w:trPr>
          <w:trHeight w:val="569"/>
        </w:trPr>
        <w:tc>
          <w:tcPr>
            <w:tcW w:w="2004" w:type="dxa"/>
            <w:gridSpan w:val="2"/>
          </w:tcPr>
          <w:p w14:paraId="1BC459F9"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Špecifický cieľ</w:t>
            </w:r>
          </w:p>
        </w:tc>
        <w:tc>
          <w:tcPr>
            <w:tcW w:w="12212" w:type="dxa"/>
            <w:gridSpan w:val="6"/>
          </w:tcPr>
          <w:p w14:paraId="1BC459FA" w14:textId="5B551F37" w:rsidR="00AA09DF" w:rsidRPr="002D0719" w:rsidRDefault="00A003D8" w:rsidP="00BD031D">
            <w:pPr>
              <w:rPr>
                <w:rFonts w:ascii="Times New Roman" w:hAnsi="Times New Roman" w:cs="Times New Roman"/>
              </w:rPr>
            </w:pPr>
            <w:r w:rsidRPr="002D0719">
              <w:rPr>
                <w:rFonts w:ascii="Times New Roman" w:hAnsi="Times New Roman" w:cs="Times New Roman"/>
                <w:b/>
              </w:rPr>
              <w:t>1</w:t>
            </w:r>
            <w:r w:rsidR="00D04AB3">
              <w:rPr>
                <w:rFonts w:ascii="Times New Roman" w:hAnsi="Times New Roman" w:cs="Times New Roman"/>
              </w:rPr>
              <w:t>.</w:t>
            </w:r>
            <w:r w:rsidR="00D04AB3" w:rsidRPr="00A166E6">
              <w:rPr>
                <w:rFonts w:ascii="Times New Roman" w:hAnsi="Times New Roman" w:cs="Times New Roman"/>
                <w:b/>
              </w:rPr>
              <w:t>2</w:t>
            </w:r>
            <w:r w:rsidRPr="002D0719">
              <w:rPr>
                <w:rFonts w:ascii="Times New Roman" w:hAnsi="Times New Roman" w:cs="Times New Roman"/>
              </w:rPr>
              <w:t xml:space="preserve"> </w:t>
            </w:r>
            <w:r w:rsidR="00D04AB3">
              <w:rPr>
                <w:rFonts w:ascii="Times New Roman" w:hAnsi="Times New Roman" w:cs="Times New Roman"/>
              </w:rPr>
              <w:t>Modernizované RĽZ a zvýšené kompetencie zamestna</w:t>
            </w:r>
            <w:r w:rsidR="00BD031D">
              <w:rPr>
                <w:rFonts w:ascii="Times New Roman" w:hAnsi="Times New Roman" w:cs="Times New Roman"/>
              </w:rPr>
              <w:t>n</w:t>
            </w:r>
            <w:r w:rsidR="00D04AB3">
              <w:rPr>
                <w:rFonts w:ascii="Times New Roman" w:hAnsi="Times New Roman" w:cs="Times New Roman"/>
              </w:rPr>
              <w:t>cov</w:t>
            </w:r>
          </w:p>
        </w:tc>
      </w:tr>
      <w:tr w:rsidR="00AA09DF" w:rsidRPr="002D0719" w14:paraId="1BC459FE" w14:textId="77777777" w:rsidTr="005F2DAC">
        <w:trPr>
          <w:trHeight w:val="691"/>
        </w:trPr>
        <w:tc>
          <w:tcPr>
            <w:tcW w:w="2004" w:type="dxa"/>
            <w:gridSpan w:val="2"/>
          </w:tcPr>
          <w:p w14:paraId="1BC459FC" w14:textId="59DC5C27" w:rsidR="00AA09DF" w:rsidRPr="002D0719" w:rsidRDefault="009C5EE2" w:rsidP="009C5EE2">
            <w:pPr>
              <w:spacing w:before="120" w:after="120"/>
              <w:rPr>
                <w:rFonts w:ascii="Times New Roman" w:hAnsi="Times New Roman" w:cs="Times New Roman"/>
              </w:rPr>
            </w:pPr>
            <w:r>
              <w:rPr>
                <w:rFonts w:ascii="Times New Roman" w:hAnsi="Times New Roman" w:cs="Times New Roman"/>
              </w:rPr>
              <w:t xml:space="preserve">Typ aktivity </w:t>
            </w:r>
          </w:p>
        </w:tc>
        <w:tc>
          <w:tcPr>
            <w:tcW w:w="12212" w:type="dxa"/>
            <w:gridSpan w:val="6"/>
          </w:tcPr>
          <w:p w14:paraId="1BC459FD" w14:textId="2F9F3E5C" w:rsidR="00AA09DF" w:rsidRPr="00972413" w:rsidRDefault="00A33344" w:rsidP="00972413">
            <w:pPr>
              <w:pStyle w:val="EVS-TEXT"/>
              <w:spacing w:before="120" w:line="240" w:lineRule="auto"/>
              <w:ind w:left="426" w:hanging="426"/>
              <w:rPr>
                <w:rFonts w:eastAsia="Times New Roman"/>
                <w:b/>
                <w:sz w:val="22"/>
                <w:szCs w:val="22"/>
                <w:lang w:val="sk-SK" w:eastAsia="sk-SK"/>
              </w:rPr>
            </w:pPr>
            <w:r>
              <w:rPr>
                <w:rFonts w:eastAsia="Times New Roman"/>
                <w:b/>
                <w:sz w:val="22"/>
                <w:szCs w:val="22"/>
                <w:lang w:val="sk-SK" w:eastAsia="sk-SK"/>
              </w:rPr>
              <w:t>Výberové konania</w:t>
            </w:r>
          </w:p>
        </w:tc>
      </w:tr>
      <w:tr w:rsidR="00BD031D" w:rsidRPr="002D0719" w14:paraId="1BC45A09" w14:textId="77777777" w:rsidTr="00554726">
        <w:trPr>
          <w:trHeight w:val="831"/>
        </w:trPr>
        <w:tc>
          <w:tcPr>
            <w:tcW w:w="1413" w:type="dxa"/>
          </w:tcPr>
          <w:p w14:paraId="1BC45A02" w14:textId="766E5FE2" w:rsidR="00AA09DF" w:rsidRPr="002D0719" w:rsidRDefault="002B1463" w:rsidP="00BD031D">
            <w:pPr>
              <w:rPr>
                <w:rFonts w:ascii="Times New Roman" w:hAnsi="Times New Roman" w:cs="Times New Roman"/>
              </w:rPr>
            </w:pPr>
            <w:r w:rsidRPr="002D0719">
              <w:rPr>
                <w:rFonts w:ascii="Times New Roman" w:hAnsi="Times New Roman" w:cs="Times New Roman"/>
              </w:rPr>
              <w:t>Kód ukazovateľa</w:t>
            </w:r>
          </w:p>
        </w:tc>
        <w:tc>
          <w:tcPr>
            <w:tcW w:w="1881" w:type="dxa"/>
            <w:gridSpan w:val="2"/>
          </w:tcPr>
          <w:p w14:paraId="1BC45A03" w14:textId="1ECF7EEB" w:rsidR="00AA09DF" w:rsidRPr="002D0719" w:rsidRDefault="009C5EE2" w:rsidP="009C5EE2">
            <w:pPr>
              <w:rPr>
                <w:rFonts w:ascii="Times New Roman" w:hAnsi="Times New Roman" w:cs="Times New Roman"/>
              </w:rPr>
            </w:pPr>
            <w:r>
              <w:rPr>
                <w:rFonts w:ascii="Times New Roman" w:hAnsi="Times New Roman" w:cs="Times New Roman"/>
              </w:rPr>
              <w:t xml:space="preserve"> </w:t>
            </w:r>
            <w:r w:rsidR="002B1463">
              <w:rPr>
                <w:rFonts w:ascii="Times New Roman" w:hAnsi="Times New Roman" w:cs="Times New Roman"/>
              </w:rPr>
              <w:t>N</w:t>
            </w:r>
            <w:r w:rsidR="00AA09DF" w:rsidRPr="002D0719">
              <w:rPr>
                <w:rFonts w:ascii="Times New Roman" w:hAnsi="Times New Roman" w:cs="Times New Roman"/>
              </w:rPr>
              <w:t>ázov</w:t>
            </w:r>
            <w:r>
              <w:rPr>
                <w:rFonts w:ascii="Times New Roman" w:hAnsi="Times New Roman" w:cs="Times New Roman"/>
              </w:rPr>
              <w:t xml:space="preserve"> </w:t>
            </w:r>
            <w:r w:rsidR="00AA09DF" w:rsidRPr="002D0719">
              <w:rPr>
                <w:rFonts w:ascii="Times New Roman" w:hAnsi="Times New Roman" w:cs="Times New Roman"/>
              </w:rPr>
              <w:t xml:space="preserve"> ukazovateľa</w:t>
            </w:r>
          </w:p>
        </w:tc>
        <w:tc>
          <w:tcPr>
            <w:tcW w:w="3023" w:type="dxa"/>
          </w:tcPr>
          <w:p w14:paraId="1BC45A04" w14:textId="33FACFFF" w:rsidR="00AA09DF" w:rsidRPr="002D0719" w:rsidRDefault="00AA09DF" w:rsidP="00BD031D">
            <w:pPr>
              <w:rPr>
                <w:rFonts w:ascii="Times New Roman" w:hAnsi="Times New Roman" w:cs="Times New Roman"/>
              </w:rPr>
            </w:pPr>
            <w:r w:rsidRPr="002D0719">
              <w:rPr>
                <w:rFonts w:ascii="Times New Roman" w:hAnsi="Times New Roman" w:cs="Times New Roman"/>
              </w:rPr>
              <w:t>Definícia/metóda výpočtu</w:t>
            </w:r>
            <w:r w:rsidR="00981C2C">
              <w:rPr>
                <w:rFonts w:ascii="Times New Roman" w:hAnsi="Times New Roman" w:cs="Times New Roman"/>
              </w:rPr>
              <w:t>/ merná jednotka (počet podľa definície ukazovateľa)</w:t>
            </w:r>
          </w:p>
        </w:tc>
        <w:tc>
          <w:tcPr>
            <w:tcW w:w="2023" w:type="dxa"/>
          </w:tcPr>
          <w:p w14:paraId="1BC45A05" w14:textId="2CB2F04D" w:rsidR="00AA09DF" w:rsidRPr="002D0719" w:rsidRDefault="00981C2C" w:rsidP="00981C2C">
            <w:pPr>
              <w:rPr>
                <w:rFonts w:ascii="Times New Roman" w:hAnsi="Times New Roman" w:cs="Times New Roman"/>
              </w:rPr>
            </w:pPr>
            <w:r>
              <w:rPr>
                <w:rFonts w:ascii="Times New Roman" w:hAnsi="Times New Roman" w:cs="Times New Roman"/>
              </w:rPr>
              <w:t>P</w:t>
            </w:r>
            <w:r w:rsidR="00062560">
              <w:rPr>
                <w:rFonts w:ascii="Times New Roman" w:hAnsi="Times New Roman" w:cs="Times New Roman"/>
              </w:rPr>
              <w:t>lánovaná hodnota</w:t>
            </w:r>
            <w:r w:rsidR="00AC5B77">
              <w:rPr>
                <w:rFonts w:ascii="Times New Roman" w:hAnsi="Times New Roman" w:cs="Times New Roman"/>
              </w:rPr>
              <w:t xml:space="preserve"> </w:t>
            </w:r>
          </w:p>
        </w:tc>
        <w:tc>
          <w:tcPr>
            <w:tcW w:w="2174" w:type="dxa"/>
          </w:tcPr>
          <w:p w14:paraId="1BC45A06" w14:textId="03B1E970" w:rsidR="00AA09DF" w:rsidRPr="002D0719" w:rsidRDefault="00AA09DF" w:rsidP="00BD031D">
            <w:pPr>
              <w:rPr>
                <w:rFonts w:ascii="Times New Roman" w:hAnsi="Times New Roman" w:cs="Times New Roman"/>
              </w:rPr>
            </w:pPr>
            <w:r w:rsidRPr="002D0719">
              <w:rPr>
                <w:rFonts w:ascii="Times New Roman" w:hAnsi="Times New Roman" w:cs="Times New Roman"/>
              </w:rPr>
              <w:t>Čas plnenia</w:t>
            </w:r>
            <w:r w:rsidR="00BD031D">
              <w:rPr>
                <w:rFonts w:ascii="Times New Roman" w:hAnsi="Times New Roman" w:cs="Times New Roman"/>
              </w:rPr>
              <w:t xml:space="preserve"> </w:t>
            </w:r>
          </w:p>
        </w:tc>
        <w:tc>
          <w:tcPr>
            <w:tcW w:w="1290" w:type="dxa"/>
          </w:tcPr>
          <w:p w14:paraId="1BC45A07"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Príznak rizika</w:t>
            </w:r>
          </w:p>
        </w:tc>
        <w:tc>
          <w:tcPr>
            <w:tcW w:w="2412" w:type="dxa"/>
          </w:tcPr>
          <w:p w14:paraId="1BC45A08"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Relevancia k HP</w:t>
            </w:r>
          </w:p>
        </w:tc>
      </w:tr>
      <w:tr w:rsidR="00B97A5C" w:rsidRPr="002D0719" w14:paraId="646803D2" w14:textId="77777777" w:rsidTr="00554726">
        <w:trPr>
          <w:trHeight w:val="1664"/>
        </w:trPr>
        <w:tc>
          <w:tcPr>
            <w:tcW w:w="1413" w:type="dxa"/>
          </w:tcPr>
          <w:p w14:paraId="035F98B6" w14:textId="31738665" w:rsidR="00B97A5C" w:rsidRPr="002D0719" w:rsidRDefault="007510B2" w:rsidP="00B97A5C">
            <w:pPr>
              <w:tabs>
                <w:tab w:val="left" w:pos="250"/>
              </w:tabs>
              <w:rPr>
                <w:rFonts w:ascii="Times New Roman" w:hAnsi="Times New Roman" w:cs="Times New Roman"/>
              </w:rPr>
            </w:pPr>
            <w:r w:rsidRPr="007510B2">
              <w:rPr>
                <w:rFonts w:ascii="Times New Roman" w:hAnsi="Times New Roman" w:cs="Times New Roman"/>
              </w:rPr>
              <w:t>P0466</w:t>
            </w:r>
          </w:p>
        </w:tc>
        <w:tc>
          <w:tcPr>
            <w:tcW w:w="1881" w:type="dxa"/>
            <w:gridSpan w:val="2"/>
          </w:tcPr>
          <w:p w14:paraId="057223E3" w14:textId="7602EBBB" w:rsidR="00B97A5C" w:rsidRPr="002D0719" w:rsidRDefault="007510B2" w:rsidP="00B97A5C">
            <w:pPr>
              <w:rPr>
                <w:rFonts w:ascii="Times New Roman" w:hAnsi="Times New Roman" w:cs="Times New Roman"/>
              </w:rPr>
            </w:pPr>
            <w:r w:rsidRPr="007510B2">
              <w:rPr>
                <w:rFonts w:ascii="Times New Roman" w:hAnsi="Times New Roman" w:cs="Times New Roman"/>
              </w:rPr>
              <w:t>Počet ústredných orgánov štátnej správy, ktoré získali podporu na zefektívnenie riadenia ľudských zdrojov vo VS</w:t>
            </w:r>
          </w:p>
        </w:tc>
        <w:tc>
          <w:tcPr>
            <w:tcW w:w="3023" w:type="dxa"/>
          </w:tcPr>
          <w:p w14:paraId="06D75D90" w14:textId="510958EE" w:rsidR="00B97A5C" w:rsidRPr="00F24849" w:rsidRDefault="009F2ABE" w:rsidP="009F2ABE">
            <w:pPr>
              <w:rPr>
                <w:rFonts w:ascii="Times New Roman" w:hAnsi="Times New Roman" w:cs="Times New Roman"/>
                <w:color w:val="000000"/>
                <w:highlight w:val="yellow"/>
              </w:rPr>
            </w:pPr>
            <w:r w:rsidRPr="009F2ABE">
              <w:rPr>
                <w:rFonts w:ascii="Times New Roman" w:hAnsi="Times New Roman" w:cs="Times New Roman"/>
                <w:color w:val="000000"/>
              </w:rPr>
              <w:t>Počet ústredných orgánov štátnej správy, ktoré získali z projektov OP EVS podporu zameranú na zefektívnenie riadenia ľudských zdrojov vo verejnej správe.</w:t>
            </w:r>
            <w:r w:rsidR="00B97A5C" w:rsidRPr="00F24849">
              <w:rPr>
                <w:rFonts w:ascii="Times New Roman" w:hAnsi="Times New Roman" w:cs="Times New Roman"/>
                <w:color w:val="000000"/>
                <w:highlight w:val="yellow"/>
              </w:rPr>
              <w:t xml:space="preserve"> </w:t>
            </w:r>
          </w:p>
        </w:tc>
        <w:tc>
          <w:tcPr>
            <w:tcW w:w="2023" w:type="dxa"/>
          </w:tcPr>
          <w:p w14:paraId="0F2D033B" w14:textId="3587C030" w:rsidR="00B97A5C" w:rsidRPr="00F24849" w:rsidRDefault="00B97A5C" w:rsidP="00B97A5C">
            <w:pPr>
              <w:rPr>
                <w:rFonts w:ascii="Times New Roman" w:hAnsi="Times New Roman" w:cs="Times New Roman"/>
                <w:highlight w:val="yellow"/>
              </w:rPr>
            </w:pPr>
          </w:p>
        </w:tc>
        <w:tc>
          <w:tcPr>
            <w:tcW w:w="2174" w:type="dxa"/>
          </w:tcPr>
          <w:p w14:paraId="4CE19E76" w14:textId="5C589991" w:rsidR="00B97A5C" w:rsidRPr="00F24849" w:rsidRDefault="00132B67" w:rsidP="00DB2784">
            <w:pPr>
              <w:rPr>
                <w:rFonts w:ascii="Times New Roman" w:hAnsi="Times New Roman" w:cs="Times New Roman"/>
                <w:highlight w:val="yellow"/>
              </w:rPr>
            </w:pPr>
            <w:r>
              <w:rPr>
                <w:rFonts w:ascii="Times New Roman" w:hAnsi="Times New Roman" w:cs="Times New Roman"/>
              </w:rPr>
              <w:t>Koniec realizácie projektu</w:t>
            </w:r>
          </w:p>
        </w:tc>
        <w:tc>
          <w:tcPr>
            <w:tcW w:w="1290" w:type="dxa"/>
          </w:tcPr>
          <w:p w14:paraId="0688FF45" w14:textId="788C4F37" w:rsidR="00B97A5C" w:rsidRPr="002D0719" w:rsidRDefault="001168FD" w:rsidP="00B97A5C">
            <w:pPr>
              <w:rPr>
                <w:rFonts w:ascii="Times New Roman" w:hAnsi="Times New Roman" w:cs="Times New Roman"/>
              </w:rPr>
            </w:pPr>
            <w:r>
              <w:rPr>
                <w:rFonts w:ascii="Times New Roman" w:hAnsi="Times New Roman" w:cs="Times New Roman"/>
              </w:rPr>
              <w:t>Bez príznaku</w:t>
            </w:r>
          </w:p>
        </w:tc>
        <w:tc>
          <w:tcPr>
            <w:tcW w:w="2412" w:type="dxa"/>
          </w:tcPr>
          <w:p w14:paraId="50B5AAD8" w14:textId="0DABEDA4" w:rsidR="00B97A5C" w:rsidRPr="005F2DAC" w:rsidRDefault="009F2ABE" w:rsidP="00B97A5C">
            <w:pPr>
              <w:rPr>
                <w:rFonts w:ascii="Times New Roman" w:hAnsi="Times New Roman" w:cs="Times New Roman"/>
              </w:rPr>
            </w:pPr>
            <w:r>
              <w:rPr>
                <w:rFonts w:ascii="Times New Roman" w:hAnsi="Times New Roman" w:cs="Times New Roman"/>
              </w:rPr>
              <w:t>N/A</w:t>
            </w:r>
          </w:p>
        </w:tc>
      </w:tr>
      <w:tr w:rsidR="00F821CE" w:rsidRPr="002D0719" w14:paraId="53F337B3" w14:textId="77777777" w:rsidTr="00554726">
        <w:trPr>
          <w:trHeight w:val="2543"/>
        </w:trPr>
        <w:tc>
          <w:tcPr>
            <w:tcW w:w="1413" w:type="dxa"/>
          </w:tcPr>
          <w:p w14:paraId="59781EC1" w14:textId="2F580125" w:rsidR="00F821CE" w:rsidRPr="002D0719" w:rsidRDefault="00F821CE" w:rsidP="00F821CE">
            <w:pPr>
              <w:ind w:left="-214" w:firstLine="214"/>
              <w:rPr>
                <w:rFonts w:ascii="Times New Roman" w:hAnsi="Times New Roman" w:cs="Times New Roman"/>
              </w:rPr>
            </w:pPr>
            <w:r w:rsidRPr="00F24849">
              <w:rPr>
                <w:rFonts w:ascii="Times New Roman" w:hAnsi="Times New Roman" w:cs="Times New Roman"/>
              </w:rPr>
              <w:lastRenderedPageBreak/>
              <w:t>P0178</w:t>
            </w:r>
          </w:p>
        </w:tc>
        <w:tc>
          <w:tcPr>
            <w:tcW w:w="1881" w:type="dxa"/>
            <w:gridSpan w:val="2"/>
          </w:tcPr>
          <w:p w14:paraId="7040BE3B" w14:textId="3B2843FD" w:rsidR="00F821CE" w:rsidRPr="002D0719" w:rsidRDefault="00F821CE" w:rsidP="00F821CE">
            <w:pPr>
              <w:rPr>
                <w:rFonts w:ascii="Times New Roman" w:hAnsi="Times New Roman" w:cs="Times New Roman"/>
              </w:rPr>
            </w:pPr>
            <w:r w:rsidRPr="00F24849">
              <w:rPr>
                <w:rFonts w:ascii="Times New Roman" w:hAnsi="Times New Roman" w:cs="Times New Roman"/>
              </w:rPr>
              <w:t>Počet koncepčných, analytických a metodických materiálov</w:t>
            </w:r>
          </w:p>
        </w:tc>
        <w:tc>
          <w:tcPr>
            <w:tcW w:w="3023" w:type="dxa"/>
          </w:tcPr>
          <w:p w14:paraId="7ECEE1C1" w14:textId="0942B0C6" w:rsidR="00F821CE" w:rsidRPr="00F24849" w:rsidRDefault="00F821CE" w:rsidP="00F821CE">
            <w:pPr>
              <w:rPr>
                <w:rFonts w:ascii="Times New Roman" w:hAnsi="Times New Roman" w:cs="Times New Roman"/>
                <w:highlight w:val="yellow"/>
              </w:rPr>
            </w:pPr>
            <w:r w:rsidRPr="000A5199">
              <w:rPr>
                <w:rFonts w:ascii="Times New Roman" w:hAnsi="Times New Roman" w:cs="Times New Roman"/>
              </w:rPr>
              <w:t>Celkový počet koncepčných, analytických a metodických materiálov vypracovaných prostredníctvom zrealizovaných projektov.</w:t>
            </w:r>
          </w:p>
        </w:tc>
        <w:tc>
          <w:tcPr>
            <w:tcW w:w="2023" w:type="dxa"/>
          </w:tcPr>
          <w:p w14:paraId="61B7A0EC" w14:textId="11393ED1" w:rsidR="00F821CE" w:rsidRPr="00F24849" w:rsidRDefault="00F821CE" w:rsidP="00F821CE">
            <w:pPr>
              <w:ind w:right="-18"/>
              <w:rPr>
                <w:rFonts w:ascii="Times New Roman" w:hAnsi="Times New Roman" w:cs="Times New Roman"/>
                <w:highlight w:val="yellow"/>
              </w:rPr>
            </w:pPr>
          </w:p>
        </w:tc>
        <w:tc>
          <w:tcPr>
            <w:tcW w:w="2174" w:type="dxa"/>
          </w:tcPr>
          <w:p w14:paraId="5CA568A8" w14:textId="47E3337F" w:rsidR="00F821CE" w:rsidRPr="00F24849" w:rsidRDefault="005E7A5C" w:rsidP="00F821CE">
            <w:pPr>
              <w:rPr>
                <w:rFonts w:ascii="Times New Roman" w:hAnsi="Times New Roman" w:cs="Times New Roman"/>
                <w:highlight w:val="yellow"/>
              </w:rPr>
            </w:pPr>
            <w:r w:rsidRPr="005E7A5C">
              <w:rPr>
                <w:rFonts w:ascii="Times New Roman" w:hAnsi="Times New Roman" w:cs="Times New Roman"/>
              </w:rPr>
              <w:t>Koniec realizácie projektu</w:t>
            </w:r>
          </w:p>
        </w:tc>
        <w:tc>
          <w:tcPr>
            <w:tcW w:w="1290" w:type="dxa"/>
          </w:tcPr>
          <w:p w14:paraId="50ACD696" w14:textId="39C7E352" w:rsidR="00F821CE" w:rsidRPr="00F24849" w:rsidRDefault="00F821CE" w:rsidP="00F821CE">
            <w:pPr>
              <w:rPr>
                <w:rFonts w:ascii="Times New Roman" w:hAnsi="Times New Roman" w:cs="Times New Roman"/>
                <w:highlight w:val="yellow"/>
              </w:rPr>
            </w:pPr>
            <w:r w:rsidRPr="005E7A5C">
              <w:rPr>
                <w:rFonts w:ascii="Times New Roman" w:hAnsi="Times New Roman" w:cs="Times New Roman"/>
              </w:rPr>
              <w:t>Bez príznaku</w:t>
            </w:r>
          </w:p>
        </w:tc>
        <w:tc>
          <w:tcPr>
            <w:tcW w:w="2412" w:type="dxa"/>
          </w:tcPr>
          <w:p w14:paraId="6CEF5874" w14:textId="77777777" w:rsidR="00115C0D" w:rsidRPr="00F340F6" w:rsidRDefault="00115C0D" w:rsidP="00115C0D">
            <w:pPr>
              <w:rPr>
                <w:rFonts w:ascii="Times New Roman" w:hAnsi="Times New Roman" w:cs="Times New Roman"/>
              </w:rPr>
            </w:pPr>
            <w:r w:rsidRPr="00F340F6">
              <w:rPr>
                <w:rFonts w:ascii="Times New Roman" w:hAnsi="Times New Roman" w:cs="Times New Roman"/>
              </w:rPr>
              <w:t>Udržateľný rozvoj</w:t>
            </w:r>
          </w:p>
          <w:p w14:paraId="11B1255E" w14:textId="7E71C068" w:rsidR="00F821CE" w:rsidRPr="00F24849" w:rsidRDefault="00F821CE" w:rsidP="00F821CE">
            <w:pPr>
              <w:rPr>
                <w:rFonts w:ascii="Times New Roman" w:hAnsi="Times New Roman" w:cs="Times New Roman"/>
                <w:highlight w:val="yellow"/>
              </w:rPr>
            </w:pPr>
          </w:p>
        </w:tc>
      </w:tr>
      <w:tr w:rsidR="009F0D3F" w:rsidRPr="002D0719" w14:paraId="73A75F5B" w14:textId="77777777" w:rsidTr="00554726">
        <w:trPr>
          <w:trHeight w:val="1633"/>
        </w:trPr>
        <w:tc>
          <w:tcPr>
            <w:tcW w:w="1413" w:type="dxa"/>
          </w:tcPr>
          <w:p w14:paraId="5FD96731" w14:textId="4D7182DA" w:rsidR="009F0D3F" w:rsidRPr="005F2DAC" w:rsidRDefault="00F24849" w:rsidP="009F0D3F">
            <w:pPr>
              <w:ind w:left="-214" w:firstLine="214"/>
              <w:rPr>
                <w:rFonts w:ascii="Times New Roman" w:hAnsi="Times New Roman" w:cs="Times New Roman"/>
                <w:color w:val="FF0000"/>
              </w:rPr>
            </w:pPr>
            <w:r w:rsidRPr="00F24849">
              <w:rPr>
                <w:rFonts w:ascii="Times New Roman" w:hAnsi="Times New Roman" w:cs="Times New Roman"/>
              </w:rPr>
              <w:t>P0518</w:t>
            </w:r>
          </w:p>
        </w:tc>
        <w:tc>
          <w:tcPr>
            <w:tcW w:w="1881" w:type="dxa"/>
            <w:gridSpan w:val="2"/>
          </w:tcPr>
          <w:p w14:paraId="3258ACC0" w14:textId="63B8349C" w:rsidR="009F0D3F" w:rsidRPr="00C5129D" w:rsidRDefault="00F24849" w:rsidP="009F0D3F">
            <w:pPr>
              <w:rPr>
                <w:rFonts w:ascii="Times New Roman" w:hAnsi="Times New Roman" w:cs="Times New Roman"/>
              </w:rPr>
            </w:pPr>
            <w:r w:rsidRPr="00F24849">
              <w:rPr>
                <w:rFonts w:ascii="Times New Roman" w:hAnsi="Times New Roman" w:cs="Times New Roman"/>
              </w:rPr>
              <w:t>Počet vyškolených zamestnancov, ktorí získali kompetencie v oblasti inovovaných procesov (s certifikátom)</w:t>
            </w:r>
          </w:p>
        </w:tc>
        <w:tc>
          <w:tcPr>
            <w:tcW w:w="3023" w:type="dxa"/>
          </w:tcPr>
          <w:p w14:paraId="0EE81573" w14:textId="735CA877" w:rsidR="009F0D3F" w:rsidRPr="00F24849" w:rsidRDefault="0016042B" w:rsidP="009F0D3F">
            <w:pPr>
              <w:rPr>
                <w:rFonts w:ascii="Times New Roman" w:hAnsi="Times New Roman" w:cs="Times New Roman"/>
                <w:highlight w:val="yellow"/>
              </w:rPr>
            </w:pPr>
            <w:r w:rsidRPr="0016042B">
              <w:rPr>
                <w:rFonts w:ascii="Times New Roman" w:hAnsi="Times New Roman" w:cs="Times New Roman"/>
              </w:rPr>
              <w:t>Počet vyškolených zamestnancov VS, ktorí získali kompetencie v oblasti inovovaných procesov a zároveň splnili kritérium a získali certifikát.  Za inovovaný proces považujeme proces vytvárania nových prístupov a ich následnej implementácie s cieľom vytvárať novú hodnotu pre spoločnosť.</w:t>
            </w:r>
          </w:p>
        </w:tc>
        <w:tc>
          <w:tcPr>
            <w:tcW w:w="2023" w:type="dxa"/>
          </w:tcPr>
          <w:p w14:paraId="788B8C21" w14:textId="5C2B81F6" w:rsidR="009F0D3F" w:rsidRPr="00F24849" w:rsidRDefault="009F0D3F" w:rsidP="009F0D3F">
            <w:pPr>
              <w:ind w:right="-18"/>
              <w:rPr>
                <w:rFonts w:ascii="Times New Roman" w:hAnsi="Times New Roman" w:cs="Times New Roman"/>
                <w:highlight w:val="yellow"/>
              </w:rPr>
            </w:pPr>
          </w:p>
        </w:tc>
        <w:tc>
          <w:tcPr>
            <w:tcW w:w="2174" w:type="dxa"/>
          </w:tcPr>
          <w:p w14:paraId="1C8BC667" w14:textId="1E7EECF8" w:rsidR="009F0D3F" w:rsidRPr="00F340F6" w:rsidRDefault="0016042B" w:rsidP="009F0D3F">
            <w:pPr>
              <w:rPr>
                <w:rFonts w:ascii="Times New Roman" w:hAnsi="Times New Roman" w:cs="Times New Roman"/>
              </w:rPr>
            </w:pPr>
            <w:r w:rsidRPr="00F340F6">
              <w:rPr>
                <w:rFonts w:ascii="Times New Roman" w:hAnsi="Times New Roman" w:cs="Times New Roman"/>
              </w:rPr>
              <w:t xml:space="preserve">K termínu 6 mesiacov </w:t>
            </w:r>
            <w:r w:rsidR="00AF1D36" w:rsidRPr="00F340F6">
              <w:rPr>
                <w:rFonts w:ascii="Times New Roman" w:hAnsi="Times New Roman" w:cs="Times New Roman"/>
              </w:rPr>
              <w:t>po ukončení aktivity</w:t>
            </w:r>
            <w:r w:rsidR="007C3100">
              <w:rPr>
                <w:rStyle w:val="Odkaznapoznmkupodiarou"/>
                <w:rFonts w:ascii="Times New Roman" w:hAnsi="Times New Roman" w:cs="Times New Roman"/>
              </w:rPr>
              <w:footnoteReference w:id="1"/>
            </w:r>
          </w:p>
        </w:tc>
        <w:tc>
          <w:tcPr>
            <w:tcW w:w="1290" w:type="dxa"/>
          </w:tcPr>
          <w:p w14:paraId="39470D00" w14:textId="613968B7" w:rsidR="009F0D3F" w:rsidRPr="00F340F6" w:rsidRDefault="001168FD" w:rsidP="00F24849">
            <w:pPr>
              <w:rPr>
                <w:rFonts w:ascii="Times New Roman" w:hAnsi="Times New Roman" w:cs="Times New Roman"/>
              </w:rPr>
            </w:pPr>
            <w:r w:rsidRPr="00F340F6">
              <w:rPr>
                <w:rFonts w:ascii="Times New Roman" w:hAnsi="Times New Roman" w:cs="Times New Roman"/>
              </w:rPr>
              <w:t>Bez príznaku</w:t>
            </w:r>
          </w:p>
        </w:tc>
        <w:tc>
          <w:tcPr>
            <w:tcW w:w="2412" w:type="dxa"/>
          </w:tcPr>
          <w:p w14:paraId="47078AEB" w14:textId="77777777" w:rsidR="00F340F6" w:rsidRPr="00F340F6" w:rsidRDefault="00F340F6" w:rsidP="00F340F6">
            <w:pPr>
              <w:rPr>
                <w:rFonts w:ascii="Times New Roman" w:hAnsi="Times New Roman" w:cs="Times New Roman"/>
              </w:rPr>
            </w:pPr>
            <w:r w:rsidRPr="00F340F6">
              <w:rPr>
                <w:rFonts w:ascii="Times New Roman" w:hAnsi="Times New Roman" w:cs="Times New Roman"/>
              </w:rPr>
              <w:t>Udržateľný rozvoj</w:t>
            </w:r>
          </w:p>
          <w:p w14:paraId="75CA7996" w14:textId="0769365C" w:rsidR="009F0D3F" w:rsidRPr="00F340F6" w:rsidRDefault="00F340F6" w:rsidP="00F340F6">
            <w:pPr>
              <w:rPr>
                <w:rFonts w:ascii="Times New Roman" w:hAnsi="Times New Roman" w:cs="Times New Roman"/>
              </w:rPr>
            </w:pPr>
            <w:r w:rsidRPr="00F340F6">
              <w:rPr>
                <w:rFonts w:ascii="Times New Roman" w:hAnsi="Times New Roman" w:cs="Times New Roman"/>
              </w:rPr>
              <w:t>Rovnosť mužov a žien a nediskriminácia</w:t>
            </w:r>
          </w:p>
        </w:tc>
      </w:tr>
      <w:tr w:rsidR="00A152FC" w:rsidRPr="002D0719" w14:paraId="07A0D9D8" w14:textId="77777777" w:rsidTr="00554726">
        <w:trPr>
          <w:trHeight w:val="1633"/>
        </w:trPr>
        <w:tc>
          <w:tcPr>
            <w:tcW w:w="1413" w:type="dxa"/>
          </w:tcPr>
          <w:p w14:paraId="097FA816" w14:textId="018508A2" w:rsidR="00A152FC" w:rsidRPr="005F2DAC" w:rsidRDefault="00A152FC" w:rsidP="00A152FC">
            <w:pPr>
              <w:ind w:left="-214" w:firstLine="214"/>
              <w:rPr>
                <w:rFonts w:ascii="Times New Roman" w:hAnsi="Times New Roman" w:cs="Times New Roman"/>
                <w:color w:val="FF0000"/>
              </w:rPr>
            </w:pPr>
            <w:r w:rsidRPr="00C16F8E">
              <w:rPr>
                <w:rFonts w:ascii="Times New Roman" w:hAnsi="Times New Roman" w:cs="Times New Roman"/>
              </w:rPr>
              <w:t xml:space="preserve"> </w:t>
            </w:r>
            <w:r w:rsidRPr="00F24849">
              <w:rPr>
                <w:rFonts w:ascii="Times New Roman" w:hAnsi="Times New Roman" w:cs="Times New Roman"/>
              </w:rPr>
              <w:t xml:space="preserve"> P0324</w:t>
            </w:r>
          </w:p>
        </w:tc>
        <w:tc>
          <w:tcPr>
            <w:tcW w:w="1881" w:type="dxa"/>
            <w:gridSpan w:val="2"/>
          </w:tcPr>
          <w:p w14:paraId="015FFCC2" w14:textId="12603DF9" w:rsidR="00A152FC" w:rsidRPr="00C5129D" w:rsidRDefault="00A152FC" w:rsidP="00A152FC">
            <w:pPr>
              <w:rPr>
                <w:rFonts w:ascii="Times New Roman" w:hAnsi="Times New Roman" w:cs="Times New Roman"/>
              </w:rPr>
            </w:pPr>
            <w:r w:rsidRPr="00F24849">
              <w:rPr>
                <w:rFonts w:ascii="Times New Roman" w:hAnsi="Times New Roman" w:cs="Times New Roman"/>
              </w:rPr>
              <w:t>Počet podporených ústredných orgánov štátnej správy s efektívnym riadením ľudských zdrojov</w:t>
            </w:r>
          </w:p>
        </w:tc>
        <w:tc>
          <w:tcPr>
            <w:tcW w:w="3023" w:type="dxa"/>
          </w:tcPr>
          <w:p w14:paraId="5A7061C0" w14:textId="3B9B6B1E" w:rsidR="00A152FC" w:rsidRPr="00F24849" w:rsidRDefault="00A152FC" w:rsidP="00A152FC">
            <w:pPr>
              <w:rPr>
                <w:rFonts w:ascii="Times New Roman" w:hAnsi="Times New Roman" w:cs="Times New Roman"/>
                <w:highlight w:val="yellow"/>
              </w:rPr>
            </w:pPr>
            <w:r w:rsidRPr="008B5462">
              <w:rPr>
                <w:rFonts w:ascii="Times New Roman" w:hAnsi="Times New Roman" w:cs="Times New Roman"/>
              </w:rPr>
              <w:t>Počet ústredných orgánov pri ktorých bolo prostredníctvom projektov z OP EVS zvýšená efektívnosť riadenia ľudských zdrojov.</w:t>
            </w:r>
          </w:p>
        </w:tc>
        <w:tc>
          <w:tcPr>
            <w:tcW w:w="2023" w:type="dxa"/>
          </w:tcPr>
          <w:p w14:paraId="2462F80B" w14:textId="0C259063" w:rsidR="00A152FC" w:rsidRPr="00F24849" w:rsidRDefault="00A152FC" w:rsidP="00A152FC">
            <w:pPr>
              <w:ind w:right="-18"/>
              <w:rPr>
                <w:rFonts w:ascii="Times New Roman" w:hAnsi="Times New Roman" w:cs="Times New Roman"/>
                <w:highlight w:val="yellow"/>
              </w:rPr>
            </w:pPr>
          </w:p>
        </w:tc>
        <w:tc>
          <w:tcPr>
            <w:tcW w:w="2174" w:type="dxa"/>
          </w:tcPr>
          <w:p w14:paraId="03D28E9F" w14:textId="12C6ACB5" w:rsidR="00A152FC" w:rsidRPr="00F24849" w:rsidRDefault="00132B67" w:rsidP="00A152FC">
            <w:pPr>
              <w:rPr>
                <w:rFonts w:ascii="Times New Roman" w:hAnsi="Times New Roman" w:cs="Times New Roman"/>
                <w:highlight w:val="yellow"/>
              </w:rPr>
            </w:pPr>
            <w:r>
              <w:rPr>
                <w:rFonts w:ascii="Times New Roman" w:hAnsi="Times New Roman" w:cs="Times New Roman"/>
              </w:rPr>
              <w:t>Koniec realizácie projektu</w:t>
            </w:r>
          </w:p>
        </w:tc>
        <w:tc>
          <w:tcPr>
            <w:tcW w:w="1290" w:type="dxa"/>
          </w:tcPr>
          <w:p w14:paraId="3FB62E52" w14:textId="1B1518DA" w:rsidR="00A152FC" w:rsidRPr="00F24849" w:rsidRDefault="00A152FC" w:rsidP="00A152FC">
            <w:pPr>
              <w:rPr>
                <w:rFonts w:ascii="Times New Roman" w:hAnsi="Times New Roman" w:cs="Times New Roman"/>
                <w:highlight w:val="yellow"/>
              </w:rPr>
            </w:pPr>
            <w:r w:rsidRPr="00A152FC">
              <w:rPr>
                <w:rFonts w:ascii="Times New Roman" w:hAnsi="Times New Roman" w:cs="Times New Roman"/>
              </w:rPr>
              <w:t>Bez príznaku</w:t>
            </w:r>
          </w:p>
        </w:tc>
        <w:tc>
          <w:tcPr>
            <w:tcW w:w="2412" w:type="dxa"/>
          </w:tcPr>
          <w:p w14:paraId="4B1BE158" w14:textId="09483AFA" w:rsidR="00A152FC" w:rsidRPr="00F24849" w:rsidRDefault="00A152FC" w:rsidP="00A152FC">
            <w:pPr>
              <w:rPr>
                <w:rFonts w:ascii="Times New Roman" w:hAnsi="Times New Roman" w:cs="Times New Roman"/>
                <w:highlight w:val="yellow"/>
              </w:rPr>
            </w:pPr>
            <w:r>
              <w:rPr>
                <w:rFonts w:ascii="Times New Roman" w:hAnsi="Times New Roman" w:cs="Times New Roman"/>
              </w:rPr>
              <w:t>N/A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25057D63" w14:textId="77777777" w:rsidR="00981C2C" w:rsidRDefault="00981C2C" w:rsidP="002602A3">
      <w:pPr>
        <w:jc w:val="both"/>
        <w:rPr>
          <w:rFonts w:ascii="Times New Roman" w:hAnsi="Times New Roman" w:cs="Times New Roman"/>
          <w:b/>
          <w:bCs/>
          <w:color w:val="000000"/>
          <w:sz w:val="23"/>
          <w:szCs w:val="23"/>
        </w:rPr>
      </w:pPr>
    </w:p>
    <w:p w14:paraId="6E628FD2" w14:textId="77777777" w:rsidR="00981C2C" w:rsidRDefault="00981C2C" w:rsidP="002602A3">
      <w:pPr>
        <w:jc w:val="both"/>
        <w:rPr>
          <w:rFonts w:ascii="Times New Roman" w:hAnsi="Times New Roman" w:cs="Times New Roman"/>
          <w:b/>
          <w:bCs/>
          <w:color w:val="000000"/>
          <w:sz w:val="23"/>
          <w:szCs w:val="23"/>
        </w:rPr>
      </w:pPr>
    </w:p>
    <w:p w14:paraId="7113FD89" w14:textId="5EA80206" w:rsidR="002602A3" w:rsidRDefault="005060A2" w:rsidP="002602A3">
      <w:pPr>
        <w:jc w:val="both"/>
        <w:rPr>
          <w:rFonts w:ascii="Verdana" w:hAnsi="Verdana"/>
          <w:color w:val="404040"/>
          <w:sz w:val="20"/>
          <w:szCs w:val="20"/>
        </w:rPr>
      </w:pPr>
      <w:r w:rsidRPr="005060A2">
        <w:rPr>
          <w:rFonts w:ascii="Times New Roman" w:hAnsi="Times New Roman" w:cs="Times New Roman"/>
          <w:b/>
          <w:bCs/>
          <w:color w:val="000000"/>
          <w:sz w:val="23"/>
          <w:szCs w:val="23"/>
        </w:rPr>
        <w:t xml:space="preserve">Poznámka: </w:t>
      </w:r>
      <w:r w:rsidR="002602A3"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002602A3" w:rsidRPr="00F216A8">
        <w:rPr>
          <w:rFonts w:ascii="Times New Roman" w:hAnsi="Times New Roman" w:cs="Times New Roman"/>
          <w:color w:val="000000"/>
        </w:rPr>
        <w:t xml:space="preserve">miesto: </w:t>
      </w:r>
      <w:r w:rsidR="002602A3" w:rsidRPr="000437CF">
        <w:rPr>
          <w:rFonts w:ascii="Times New Roman" w:hAnsi="Times New Roman" w:cs="Times New Roman"/>
        </w:rPr>
        <w:t>88,33 menej rozvinutý región/11,67 rozvinutejší región</w:t>
      </w:r>
      <w:r w:rsidR="002602A3" w:rsidRPr="0091397B">
        <w:rPr>
          <w:rFonts w:ascii="Times New Roman" w:hAnsi="Times New Roman" w:cs="Times New Roman"/>
          <w:color w:val="404040"/>
        </w:rPr>
        <w:t>.</w:t>
      </w:r>
    </w:p>
    <w:p w14:paraId="1BC45A15" w14:textId="6730243E" w:rsidR="003367F2" w:rsidRDefault="00D435F7" w:rsidP="005060A2">
      <w:pPr>
        <w:autoSpaceDE w:val="0"/>
        <w:autoSpaceDN w:val="0"/>
        <w:adjustRightInd w:val="0"/>
        <w:spacing w:after="0" w:line="240" w:lineRule="auto"/>
        <w:rPr>
          <w:rFonts w:ascii="Times New Roman" w:hAnsi="Times New Roman" w:cs="Times New Roman"/>
          <w:color w:val="000000"/>
        </w:rPr>
      </w:pPr>
    </w:p>
    <w:p w14:paraId="67AA7E21" w14:textId="77777777" w:rsidR="00206B76" w:rsidRPr="00C1434A" w:rsidRDefault="00206B76" w:rsidP="005060A2">
      <w:pPr>
        <w:autoSpaceDE w:val="0"/>
        <w:autoSpaceDN w:val="0"/>
        <w:adjustRightInd w:val="0"/>
        <w:spacing w:after="0" w:line="240" w:lineRule="auto"/>
        <w:rPr>
          <w:sz w:val="18"/>
          <w:szCs w:val="18"/>
        </w:rPr>
      </w:pPr>
    </w:p>
    <w:sectPr w:rsidR="00206B76" w:rsidRPr="00C1434A" w:rsidSect="00C6755B">
      <w:headerReference w:type="default" r:id="rId11"/>
      <w:headerReference w:type="first" r:id="rId12"/>
      <w:pgSz w:w="16838" w:h="11906" w:orient="landscape"/>
      <w:pgMar w:top="1561" w:right="1417" w:bottom="1135"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27CD4" w14:textId="77777777" w:rsidR="00D435F7" w:rsidRDefault="00D435F7" w:rsidP="00BE3A1E">
      <w:pPr>
        <w:spacing w:after="0" w:line="240" w:lineRule="auto"/>
      </w:pPr>
      <w:r>
        <w:separator/>
      </w:r>
    </w:p>
  </w:endnote>
  <w:endnote w:type="continuationSeparator" w:id="0">
    <w:p w14:paraId="56EC7BFE" w14:textId="77777777" w:rsidR="00D435F7" w:rsidRDefault="00D435F7"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32C23" w14:textId="77777777" w:rsidR="00D435F7" w:rsidRDefault="00D435F7" w:rsidP="00BE3A1E">
      <w:pPr>
        <w:spacing w:after="0" w:line="240" w:lineRule="auto"/>
      </w:pPr>
      <w:r>
        <w:separator/>
      </w:r>
    </w:p>
  </w:footnote>
  <w:footnote w:type="continuationSeparator" w:id="0">
    <w:p w14:paraId="4151A4B4" w14:textId="77777777" w:rsidR="00D435F7" w:rsidRDefault="00D435F7" w:rsidP="00BE3A1E">
      <w:pPr>
        <w:spacing w:after="0" w:line="240" w:lineRule="auto"/>
      </w:pPr>
      <w:r>
        <w:continuationSeparator/>
      </w:r>
    </w:p>
  </w:footnote>
  <w:footnote w:id="1">
    <w:p w14:paraId="0655B931" w14:textId="7ADAE9DB" w:rsidR="007C3100" w:rsidRPr="006F045F" w:rsidRDefault="007C3100" w:rsidP="007C3100">
      <w:pPr>
        <w:pStyle w:val="Textpoznmkypodiarou"/>
        <w:rPr>
          <w:rFonts w:ascii="Times New Roman" w:hAnsi="Times New Roman" w:cs="Times New Roman"/>
        </w:rPr>
      </w:pPr>
      <w:r>
        <w:rPr>
          <w:rStyle w:val="Odkaznapoznmkupodiarou"/>
        </w:rPr>
        <w:footnoteRef/>
      </w:r>
      <w:r>
        <w:t xml:space="preserve"> </w:t>
      </w:r>
      <w:r w:rsidRPr="006F045F">
        <w:rPr>
          <w:rFonts w:ascii="Times New Roman" w:hAnsi="Times New Roman" w:cs="Times New Roman"/>
        </w:rPr>
        <w:t>Čas plnenia je definovaný v súlade s ITMS. Pre účely tohto národného projektu bol v tomto vyzvaní čas plnenia určený najneskôr k dnu ukončenia hlavných aktivít projektu, a to v zmysle definície uvedenej v Zmluve o NFP.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1FFF45A" w:rsidR="00E9094E" w:rsidRDefault="00E9094E">
    <w:pPr>
      <w:pStyle w:val="Hlavika"/>
    </w:pPr>
    <w:r>
      <w:t xml:space="preserve">                               </w:t>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6C86" w14:textId="77777777" w:rsidR="006905D9" w:rsidRDefault="006905D9" w:rsidP="006905D9">
    <w:pPr>
      <w:pStyle w:val="Hlavika"/>
    </w:pPr>
    <w:r>
      <w:t xml:space="preserve">                               </w:t>
    </w:r>
    <w:r>
      <w:tab/>
    </w:r>
    <w:r>
      <w:tab/>
    </w:r>
    <w:r>
      <w:tab/>
    </w:r>
    <w:r>
      <w:rPr>
        <w:rFonts w:eastAsia="Times New Roman"/>
        <w:noProof/>
        <w:lang w:eastAsia="sk-SK"/>
      </w:rPr>
      <w:drawing>
        <wp:inline distT="0" distB="0" distL="0" distR="0" wp14:anchorId="359CC8EB" wp14:editId="5AD49F35">
          <wp:extent cx="3013200" cy="536400"/>
          <wp:effectExtent l="0" t="0" r="0" b="0"/>
          <wp:docPr id="2" name="Obrázok 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4DDDECF3" w14:textId="6522CDB7" w:rsidR="006905D9" w:rsidRDefault="006905D9" w:rsidP="006905D9">
    <w:pPr>
      <w:pStyle w:val="Hlavika"/>
      <w:jc w:val="right"/>
    </w:pPr>
    <w:r w:rsidRPr="00CF284D">
      <w:rPr>
        <w:rFonts w:ascii="Times New Roman" w:hAnsi="Times New Roman" w:cs="Times New Roman"/>
      </w:rPr>
      <w:t xml:space="preserve">Príloha č. </w:t>
    </w:r>
    <w:r w:rsidRPr="00CF284D">
      <w:rPr>
        <w:rFonts w:ascii="Times New Roman" w:hAnsi="Times New Roman" w:cs="Times New Roman"/>
      </w:rPr>
      <w:t xml:space="preserve">3 </w:t>
    </w:r>
    <w:r w:rsidR="00AE20CB">
      <w:rPr>
        <w:rFonts w:ascii="Times New Roman" w:hAnsi="Times New Roman" w:cs="Times New Roman"/>
      </w:rPr>
      <w:t>v</w:t>
    </w:r>
    <w:r w:rsidRPr="00CF284D">
      <w:rPr>
        <w:rFonts w:ascii="Times New Roman" w:hAnsi="Times New Roman" w:cs="Times New Roman"/>
      </w:rPr>
      <w:t>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2D4B6398"/>
    <w:multiLevelType w:val="hybridMultilevel"/>
    <w:tmpl w:val="1A522A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6444451C"/>
    <w:multiLevelType w:val="hybridMultilevel"/>
    <w:tmpl w:val="F71A398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02AA"/>
    <w:rsid w:val="0000724E"/>
    <w:rsid w:val="00010538"/>
    <w:rsid w:val="00010DC2"/>
    <w:rsid w:val="00013E1F"/>
    <w:rsid w:val="00062560"/>
    <w:rsid w:val="00066755"/>
    <w:rsid w:val="00075C09"/>
    <w:rsid w:val="0008102A"/>
    <w:rsid w:val="00092B28"/>
    <w:rsid w:val="000A5199"/>
    <w:rsid w:val="000B7F42"/>
    <w:rsid w:val="000D0774"/>
    <w:rsid w:val="000D1C7A"/>
    <w:rsid w:val="000D29FD"/>
    <w:rsid w:val="000D3DF2"/>
    <w:rsid w:val="00100AAD"/>
    <w:rsid w:val="00107D62"/>
    <w:rsid w:val="00115C0D"/>
    <w:rsid w:val="001168FD"/>
    <w:rsid w:val="001212C4"/>
    <w:rsid w:val="00124985"/>
    <w:rsid w:val="00132B67"/>
    <w:rsid w:val="00156DD0"/>
    <w:rsid w:val="0016042B"/>
    <w:rsid w:val="00185CF5"/>
    <w:rsid w:val="001C0772"/>
    <w:rsid w:val="001C216C"/>
    <w:rsid w:val="001D62EA"/>
    <w:rsid w:val="001E5A50"/>
    <w:rsid w:val="001F7D27"/>
    <w:rsid w:val="002067D0"/>
    <w:rsid w:val="00206B76"/>
    <w:rsid w:val="0023116C"/>
    <w:rsid w:val="002566D5"/>
    <w:rsid w:val="00257ACD"/>
    <w:rsid w:val="002602A3"/>
    <w:rsid w:val="002638FC"/>
    <w:rsid w:val="00286E2B"/>
    <w:rsid w:val="00286F33"/>
    <w:rsid w:val="0028709C"/>
    <w:rsid w:val="002B1463"/>
    <w:rsid w:val="002C586B"/>
    <w:rsid w:val="002C6A01"/>
    <w:rsid w:val="002D0719"/>
    <w:rsid w:val="002F5FC9"/>
    <w:rsid w:val="00303685"/>
    <w:rsid w:val="00316DCE"/>
    <w:rsid w:val="00335F08"/>
    <w:rsid w:val="00342733"/>
    <w:rsid w:val="00346440"/>
    <w:rsid w:val="00351556"/>
    <w:rsid w:val="00355E64"/>
    <w:rsid w:val="003854CE"/>
    <w:rsid w:val="003D2523"/>
    <w:rsid w:val="003E2A4E"/>
    <w:rsid w:val="003E408A"/>
    <w:rsid w:val="003E5898"/>
    <w:rsid w:val="00402D2F"/>
    <w:rsid w:val="00406827"/>
    <w:rsid w:val="00420246"/>
    <w:rsid w:val="0042674B"/>
    <w:rsid w:val="00443B59"/>
    <w:rsid w:val="00451964"/>
    <w:rsid w:val="00460E0F"/>
    <w:rsid w:val="00481F83"/>
    <w:rsid w:val="00493980"/>
    <w:rsid w:val="004C5406"/>
    <w:rsid w:val="004D2284"/>
    <w:rsid w:val="004D56E4"/>
    <w:rsid w:val="004E7354"/>
    <w:rsid w:val="005060A2"/>
    <w:rsid w:val="00506CFA"/>
    <w:rsid w:val="0051182B"/>
    <w:rsid w:val="00517908"/>
    <w:rsid w:val="00517B73"/>
    <w:rsid w:val="00524B81"/>
    <w:rsid w:val="00530687"/>
    <w:rsid w:val="00541E51"/>
    <w:rsid w:val="00554726"/>
    <w:rsid w:val="00595924"/>
    <w:rsid w:val="005A16ED"/>
    <w:rsid w:val="005A45DF"/>
    <w:rsid w:val="005C449A"/>
    <w:rsid w:val="005C6543"/>
    <w:rsid w:val="005D6C24"/>
    <w:rsid w:val="005E27ED"/>
    <w:rsid w:val="005E7A5C"/>
    <w:rsid w:val="005F2DAC"/>
    <w:rsid w:val="005F34AD"/>
    <w:rsid w:val="005F4597"/>
    <w:rsid w:val="005F6FDE"/>
    <w:rsid w:val="00611079"/>
    <w:rsid w:val="00621F9C"/>
    <w:rsid w:val="006245DB"/>
    <w:rsid w:val="00656CCA"/>
    <w:rsid w:val="00674AAA"/>
    <w:rsid w:val="006778BA"/>
    <w:rsid w:val="00686709"/>
    <w:rsid w:val="006905D9"/>
    <w:rsid w:val="00694903"/>
    <w:rsid w:val="00695A4F"/>
    <w:rsid w:val="006A425A"/>
    <w:rsid w:val="006F045F"/>
    <w:rsid w:val="006F076D"/>
    <w:rsid w:val="00705175"/>
    <w:rsid w:val="00720C5C"/>
    <w:rsid w:val="007235C2"/>
    <w:rsid w:val="007363B3"/>
    <w:rsid w:val="00746C8C"/>
    <w:rsid w:val="007510B2"/>
    <w:rsid w:val="007563F8"/>
    <w:rsid w:val="00764300"/>
    <w:rsid w:val="00771BFC"/>
    <w:rsid w:val="0077477F"/>
    <w:rsid w:val="007B63F7"/>
    <w:rsid w:val="007C2407"/>
    <w:rsid w:val="007C3100"/>
    <w:rsid w:val="007D08B0"/>
    <w:rsid w:val="007D4071"/>
    <w:rsid w:val="007D62F2"/>
    <w:rsid w:val="007E45E9"/>
    <w:rsid w:val="007F456C"/>
    <w:rsid w:val="007F6708"/>
    <w:rsid w:val="00835C9A"/>
    <w:rsid w:val="008474B2"/>
    <w:rsid w:val="0085404F"/>
    <w:rsid w:val="00860C7A"/>
    <w:rsid w:val="00867107"/>
    <w:rsid w:val="008704F2"/>
    <w:rsid w:val="00876393"/>
    <w:rsid w:val="008947E2"/>
    <w:rsid w:val="008B0C0F"/>
    <w:rsid w:val="008B5462"/>
    <w:rsid w:val="008D4B35"/>
    <w:rsid w:val="008E2C27"/>
    <w:rsid w:val="008E74F4"/>
    <w:rsid w:val="00935D24"/>
    <w:rsid w:val="00972413"/>
    <w:rsid w:val="00973E26"/>
    <w:rsid w:val="009748B7"/>
    <w:rsid w:val="00981C2C"/>
    <w:rsid w:val="00986465"/>
    <w:rsid w:val="00990D02"/>
    <w:rsid w:val="009A0CE8"/>
    <w:rsid w:val="009A7594"/>
    <w:rsid w:val="009B3B0C"/>
    <w:rsid w:val="009C5EE2"/>
    <w:rsid w:val="009C7E7D"/>
    <w:rsid w:val="009D14AD"/>
    <w:rsid w:val="009D23B7"/>
    <w:rsid w:val="009E3292"/>
    <w:rsid w:val="009F0D3F"/>
    <w:rsid w:val="009F2ABE"/>
    <w:rsid w:val="00A003D8"/>
    <w:rsid w:val="00A005F2"/>
    <w:rsid w:val="00A152FC"/>
    <w:rsid w:val="00A166E6"/>
    <w:rsid w:val="00A16BAA"/>
    <w:rsid w:val="00A204DE"/>
    <w:rsid w:val="00A33344"/>
    <w:rsid w:val="00A83108"/>
    <w:rsid w:val="00AA09DF"/>
    <w:rsid w:val="00AA2144"/>
    <w:rsid w:val="00AB6E9B"/>
    <w:rsid w:val="00AC47AB"/>
    <w:rsid w:val="00AC5B77"/>
    <w:rsid w:val="00AD66FB"/>
    <w:rsid w:val="00AE05B0"/>
    <w:rsid w:val="00AE0AA3"/>
    <w:rsid w:val="00AE20CB"/>
    <w:rsid w:val="00AE324E"/>
    <w:rsid w:val="00AF1D36"/>
    <w:rsid w:val="00B10F79"/>
    <w:rsid w:val="00B23CAE"/>
    <w:rsid w:val="00B36185"/>
    <w:rsid w:val="00B420B9"/>
    <w:rsid w:val="00B4685B"/>
    <w:rsid w:val="00B65381"/>
    <w:rsid w:val="00B83BCF"/>
    <w:rsid w:val="00B92983"/>
    <w:rsid w:val="00B97A5C"/>
    <w:rsid w:val="00BA2CF3"/>
    <w:rsid w:val="00BD031D"/>
    <w:rsid w:val="00BE3A1E"/>
    <w:rsid w:val="00BE662C"/>
    <w:rsid w:val="00C1434A"/>
    <w:rsid w:val="00C22728"/>
    <w:rsid w:val="00C3406C"/>
    <w:rsid w:val="00C5129D"/>
    <w:rsid w:val="00C62049"/>
    <w:rsid w:val="00C6315C"/>
    <w:rsid w:val="00C6755B"/>
    <w:rsid w:val="00C7627A"/>
    <w:rsid w:val="00C91317"/>
    <w:rsid w:val="00C9593E"/>
    <w:rsid w:val="00CA2572"/>
    <w:rsid w:val="00CC622C"/>
    <w:rsid w:val="00CF284D"/>
    <w:rsid w:val="00D04AB3"/>
    <w:rsid w:val="00D115F2"/>
    <w:rsid w:val="00D369D4"/>
    <w:rsid w:val="00D435F7"/>
    <w:rsid w:val="00D52D42"/>
    <w:rsid w:val="00D869DD"/>
    <w:rsid w:val="00D87786"/>
    <w:rsid w:val="00DA2B57"/>
    <w:rsid w:val="00DB2784"/>
    <w:rsid w:val="00DE453A"/>
    <w:rsid w:val="00DF7C42"/>
    <w:rsid w:val="00E00D7F"/>
    <w:rsid w:val="00E26B23"/>
    <w:rsid w:val="00E272A9"/>
    <w:rsid w:val="00E326D8"/>
    <w:rsid w:val="00E335B6"/>
    <w:rsid w:val="00E508A3"/>
    <w:rsid w:val="00E51229"/>
    <w:rsid w:val="00E84D22"/>
    <w:rsid w:val="00E9094E"/>
    <w:rsid w:val="00EA41F0"/>
    <w:rsid w:val="00EB4DFB"/>
    <w:rsid w:val="00EB735F"/>
    <w:rsid w:val="00EB7D4F"/>
    <w:rsid w:val="00EC48D7"/>
    <w:rsid w:val="00EC5F94"/>
    <w:rsid w:val="00EC75C9"/>
    <w:rsid w:val="00ED03FF"/>
    <w:rsid w:val="00ED4579"/>
    <w:rsid w:val="00EE040E"/>
    <w:rsid w:val="00F24849"/>
    <w:rsid w:val="00F321F9"/>
    <w:rsid w:val="00F340F6"/>
    <w:rsid w:val="00F50397"/>
    <w:rsid w:val="00F51667"/>
    <w:rsid w:val="00F57979"/>
    <w:rsid w:val="00F604ED"/>
    <w:rsid w:val="00F81F62"/>
    <w:rsid w:val="00F821CE"/>
    <w:rsid w:val="00F9678E"/>
    <w:rsid w:val="00FB62AD"/>
    <w:rsid w:val="00FD1C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semiHidden/>
    <w:unhideWhenUsed/>
    <w:rsid w:val="007C310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C3100"/>
    <w:rPr>
      <w:sz w:val="20"/>
      <w:szCs w:val="20"/>
    </w:rPr>
  </w:style>
  <w:style w:type="character" w:styleId="Odkaznapoznmkupodiarou">
    <w:name w:val="footnote reference"/>
    <w:basedOn w:val="Predvolenpsmoodseku"/>
    <w:uiPriority w:val="99"/>
    <w:semiHidden/>
    <w:unhideWhenUsed/>
    <w:rsid w:val="007C3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F8FEB5-3C59-4966-BB60-3C008C25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330</Words>
  <Characters>1886</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235</cp:revision>
  <dcterms:created xsi:type="dcterms:W3CDTF">2016-10-20T11:00:00Z</dcterms:created>
  <dcterms:modified xsi:type="dcterms:W3CDTF">2017-05-31T10:35:00Z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