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1AEC5" w14:textId="77777777" w:rsidR="00AA09DF" w:rsidRPr="00D45CDE" w:rsidRDefault="00AA09DF" w:rsidP="00AA09DF">
      <w:pPr>
        <w:pStyle w:val="Hlavika"/>
        <w:rPr>
          <w:rFonts w:ascii="Times New Roman" w:hAnsi="Times New Roman" w:cs="Times New Roman"/>
          <w:b/>
        </w:rPr>
      </w:pPr>
    </w:p>
    <w:tbl>
      <w:tblPr>
        <w:tblpPr w:leftFromText="141" w:rightFromText="141" w:tblpY="626"/>
        <w:tblW w:w="13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6"/>
        <w:gridCol w:w="452"/>
        <w:gridCol w:w="237"/>
        <w:gridCol w:w="1481"/>
        <w:gridCol w:w="3545"/>
        <w:gridCol w:w="1098"/>
        <w:gridCol w:w="2356"/>
        <w:gridCol w:w="1207"/>
        <w:gridCol w:w="2350"/>
      </w:tblGrid>
      <w:tr w:rsidR="00AA09DF" w:rsidRPr="00D45CDE" w14:paraId="19E21CA1" w14:textId="77777777" w:rsidTr="00EB7892">
        <w:trPr>
          <w:trHeight w:val="369"/>
        </w:trPr>
        <w:tc>
          <w:tcPr>
            <w:tcW w:w="13992" w:type="dxa"/>
            <w:gridSpan w:val="9"/>
          </w:tcPr>
          <w:p w14:paraId="4BDA89B7" w14:textId="77777777" w:rsidR="00AA09DF" w:rsidRPr="00D45CDE" w:rsidRDefault="00AA09DF" w:rsidP="00660BE3">
            <w:pPr>
              <w:rPr>
                <w:rFonts w:ascii="Times New Roman" w:hAnsi="Times New Roman" w:cs="Times New Roman"/>
              </w:rPr>
            </w:pPr>
            <w:r w:rsidRPr="00D45CDE">
              <w:rPr>
                <w:rFonts w:ascii="Times New Roman" w:hAnsi="Times New Roman" w:cs="Times New Roman"/>
              </w:rPr>
              <w:t>Zoznam merateľných ukazovateľov</w:t>
            </w:r>
          </w:p>
        </w:tc>
      </w:tr>
      <w:tr w:rsidR="00AA09DF" w:rsidRPr="00D45CDE" w14:paraId="16E1E30B" w14:textId="77777777" w:rsidTr="00EB7892">
        <w:trPr>
          <w:trHeight w:val="404"/>
        </w:trPr>
        <w:tc>
          <w:tcPr>
            <w:tcW w:w="1955" w:type="dxa"/>
            <w:gridSpan w:val="3"/>
          </w:tcPr>
          <w:p w14:paraId="12711C97" w14:textId="77777777" w:rsidR="00AA09DF" w:rsidRPr="00D45CDE" w:rsidRDefault="00AA09DF" w:rsidP="00660BE3">
            <w:pPr>
              <w:rPr>
                <w:rFonts w:ascii="Times New Roman" w:hAnsi="Times New Roman" w:cs="Times New Roman"/>
              </w:rPr>
            </w:pPr>
            <w:r w:rsidRPr="00D45CDE">
              <w:rPr>
                <w:rFonts w:ascii="Times New Roman" w:hAnsi="Times New Roman" w:cs="Times New Roman"/>
              </w:rPr>
              <w:t xml:space="preserve">Operačný program </w:t>
            </w:r>
          </w:p>
        </w:tc>
        <w:tc>
          <w:tcPr>
            <w:tcW w:w="12037" w:type="dxa"/>
            <w:gridSpan w:val="6"/>
          </w:tcPr>
          <w:p w14:paraId="18628701" w14:textId="77777777" w:rsidR="00AA09DF" w:rsidRPr="00D45CDE" w:rsidRDefault="00AA09DF" w:rsidP="00660BE3">
            <w:pPr>
              <w:rPr>
                <w:rFonts w:ascii="Times New Roman" w:hAnsi="Times New Roman" w:cs="Times New Roman"/>
              </w:rPr>
            </w:pPr>
            <w:r w:rsidRPr="00D45CDE">
              <w:rPr>
                <w:rFonts w:ascii="Times New Roman" w:hAnsi="Times New Roman" w:cs="Times New Roman"/>
              </w:rPr>
              <w:t>Efektívna verejná správa</w:t>
            </w:r>
          </w:p>
        </w:tc>
      </w:tr>
      <w:tr w:rsidR="00AA09DF" w:rsidRPr="00D45CDE" w14:paraId="256C2703" w14:textId="77777777" w:rsidTr="00EB7892">
        <w:trPr>
          <w:trHeight w:val="311"/>
        </w:trPr>
        <w:tc>
          <w:tcPr>
            <w:tcW w:w="1955" w:type="dxa"/>
            <w:gridSpan w:val="3"/>
          </w:tcPr>
          <w:p w14:paraId="72CFE0E1" w14:textId="77777777" w:rsidR="00AA09DF" w:rsidRPr="00D45CDE" w:rsidRDefault="00AA09DF" w:rsidP="00660BE3">
            <w:pPr>
              <w:rPr>
                <w:rFonts w:ascii="Times New Roman" w:hAnsi="Times New Roman" w:cs="Times New Roman"/>
              </w:rPr>
            </w:pPr>
            <w:r w:rsidRPr="00D45CDE">
              <w:rPr>
                <w:rFonts w:ascii="Times New Roman" w:hAnsi="Times New Roman" w:cs="Times New Roman"/>
              </w:rPr>
              <w:t>Prioritná os</w:t>
            </w:r>
          </w:p>
        </w:tc>
        <w:tc>
          <w:tcPr>
            <w:tcW w:w="12037" w:type="dxa"/>
            <w:gridSpan w:val="6"/>
          </w:tcPr>
          <w:p w14:paraId="2BF3074F" w14:textId="77777777" w:rsidR="00AA09DF" w:rsidRPr="00D45CDE" w:rsidRDefault="00A003D8" w:rsidP="001829B7">
            <w:pPr>
              <w:rPr>
                <w:rFonts w:ascii="Times New Roman" w:hAnsi="Times New Roman" w:cs="Times New Roman"/>
              </w:rPr>
            </w:pPr>
            <w:r w:rsidRPr="00D45CDE">
              <w:rPr>
                <w:rFonts w:ascii="Times New Roman" w:hAnsi="Times New Roman" w:cs="Times New Roman"/>
                <w:b/>
              </w:rPr>
              <w:t>1</w:t>
            </w:r>
            <w:r w:rsidRPr="00D45CDE">
              <w:rPr>
                <w:rFonts w:ascii="Times New Roman" w:hAnsi="Times New Roman" w:cs="Times New Roman"/>
              </w:rPr>
              <w:t xml:space="preserve"> </w:t>
            </w:r>
            <w:r w:rsidR="001829B7" w:rsidRPr="00D45CDE">
              <w:rPr>
                <w:rFonts w:ascii="Times New Roman" w:hAnsi="Times New Roman" w:cs="Times New Roman"/>
              </w:rPr>
              <w:t>Posilnené inštitucionálne kapacity a efektívna VS</w:t>
            </w:r>
          </w:p>
        </w:tc>
      </w:tr>
      <w:tr w:rsidR="00AA09DF" w:rsidRPr="00D45CDE" w14:paraId="22DE5DBD" w14:textId="77777777" w:rsidTr="00EB7892">
        <w:trPr>
          <w:trHeight w:val="569"/>
        </w:trPr>
        <w:tc>
          <w:tcPr>
            <w:tcW w:w="1955" w:type="dxa"/>
            <w:gridSpan w:val="3"/>
          </w:tcPr>
          <w:p w14:paraId="4121523D" w14:textId="77777777" w:rsidR="00AA09DF" w:rsidRPr="00D45CDE" w:rsidRDefault="00AA09DF" w:rsidP="00660BE3">
            <w:pPr>
              <w:rPr>
                <w:rFonts w:ascii="Times New Roman" w:hAnsi="Times New Roman" w:cs="Times New Roman"/>
              </w:rPr>
            </w:pPr>
            <w:r w:rsidRPr="00D45CDE">
              <w:rPr>
                <w:rFonts w:ascii="Times New Roman" w:hAnsi="Times New Roman" w:cs="Times New Roman"/>
              </w:rPr>
              <w:t>Špecifický cieľ</w:t>
            </w:r>
          </w:p>
        </w:tc>
        <w:tc>
          <w:tcPr>
            <w:tcW w:w="12037" w:type="dxa"/>
            <w:gridSpan w:val="6"/>
          </w:tcPr>
          <w:p w14:paraId="365CD82F" w14:textId="4B896014" w:rsidR="00895CFB" w:rsidRPr="00273B0A" w:rsidRDefault="00273B0A" w:rsidP="00273B0A">
            <w:pPr>
              <w:pStyle w:val="Odsekzoznamu"/>
              <w:numPr>
                <w:ilvl w:val="1"/>
                <w:numId w:val="6"/>
              </w:numPr>
              <w:rPr>
                <w:rFonts w:ascii="Times New Roman" w:hAnsi="Times New Roman" w:cs="Times New Roman"/>
              </w:rPr>
            </w:pPr>
            <w:r w:rsidRPr="00273B0A">
              <w:rPr>
                <w:rFonts w:ascii="Times New Roman" w:hAnsi="Times New Roman" w:cs="Times New Roman"/>
              </w:rPr>
              <w:t xml:space="preserve">Modernizované RĽZ a zvýšené kompetencie zamestnancov </w:t>
            </w:r>
          </w:p>
        </w:tc>
      </w:tr>
      <w:tr w:rsidR="00AA09DF" w:rsidRPr="00D45CDE" w14:paraId="6E414E66" w14:textId="77777777" w:rsidTr="00EB7892">
        <w:trPr>
          <w:trHeight w:val="691"/>
        </w:trPr>
        <w:tc>
          <w:tcPr>
            <w:tcW w:w="1955" w:type="dxa"/>
            <w:gridSpan w:val="3"/>
          </w:tcPr>
          <w:p w14:paraId="47BEED42" w14:textId="77777777" w:rsidR="00AA09DF" w:rsidRPr="00D45CDE" w:rsidRDefault="00F04BEB" w:rsidP="00660BE3">
            <w:pPr>
              <w:rPr>
                <w:rFonts w:ascii="Times New Roman" w:hAnsi="Times New Roman" w:cs="Times New Roman"/>
              </w:rPr>
            </w:pPr>
            <w:r w:rsidRPr="00D45CDE">
              <w:rPr>
                <w:rFonts w:ascii="Times New Roman" w:hAnsi="Times New Roman" w:cs="Times New Roman"/>
              </w:rPr>
              <w:t>Typ aktivity</w:t>
            </w:r>
          </w:p>
        </w:tc>
        <w:tc>
          <w:tcPr>
            <w:tcW w:w="12037" w:type="dxa"/>
            <w:gridSpan w:val="6"/>
          </w:tcPr>
          <w:p w14:paraId="02A0CF67" w14:textId="4252C1A7" w:rsidR="00AA09DF" w:rsidRPr="00D45CDE" w:rsidRDefault="00BC3768" w:rsidP="00C22728">
            <w:pPr>
              <w:pStyle w:val="Default"/>
              <w:spacing w:after="120"/>
              <w:rPr>
                <w:b/>
                <w:sz w:val="22"/>
                <w:szCs w:val="22"/>
              </w:rPr>
            </w:pPr>
            <w:r w:rsidRPr="00BC3768">
              <w:rPr>
                <w:b/>
                <w:sz w:val="22"/>
                <w:szCs w:val="22"/>
              </w:rPr>
              <w:t>Špecifické vzdelávacie opatrenia</w:t>
            </w:r>
          </w:p>
        </w:tc>
      </w:tr>
      <w:tr w:rsidR="002A1E39" w:rsidRPr="00D45CDE" w14:paraId="0DE56D3D" w14:textId="77777777" w:rsidTr="00EB7892">
        <w:trPr>
          <w:trHeight w:val="688"/>
        </w:trPr>
        <w:tc>
          <w:tcPr>
            <w:tcW w:w="1266" w:type="dxa"/>
          </w:tcPr>
          <w:p w14:paraId="5A6990CC" w14:textId="77777777" w:rsidR="002A1E39" w:rsidRPr="00D45CDE" w:rsidRDefault="002A1E39" w:rsidP="002A1E39">
            <w:pPr>
              <w:rPr>
                <w:rFonts w:ascii="Times New Roman" w:hAnsi="Times New Roman" w:cs="Times New Roman"/>
              </w:rPr>
            </w:pPr>
            <w:r w:rsidRPr="00D45CDE">
              <w:rPr>
                <w:rFonts w:ascii="Times New Roman" w:hAnsi="Times New Roman" w:cs="Times New Roman"/>
              </w:rPr>
              <w:t>Kód ukazovateľa</w:t>
            </w:r>
          </w:p>
        </w:tc>
        <w:tc>
          <w:tcPr>
            <w:tcW w:w="2170" w:type="dxa"/>
            <w:gridSpan w:val="3"/>
          </w:tcPr>
          <w:p w14:paraId="1EE4C8B0" w14:textId="77777777" w:rsidR="002A1E39" w:rsidRPr="00D45CDE" w:rsidRDefault="002A1E39" w:rsidP="002A1E39">
            <w:pPr>
              <w:rPr>
                <w:rFonts w:ascii="Times New Roman" w:hAnsi="Times New Roman" w:cs="Times New Roman"/>
              </w:rPr>
            </w:pPr>
            <w:r w:rsidRPr="00D45CDE">
              <w:rPr>
                <w:rFonts w:ascii="Times New Roman" w:hAnsi="Times New Roman" w:cs="Times New Roman"/>
              </w:rPr>
              <w:t>Názov ukazovateľa</w:t>
            </w:r>
          </w:p>
        </w:tc>
        <w:tc>
          <w:tcPr>
            <w:tcW w:w="3545" w:type="dxa"/>
          </w:tcPr>
          <w:p w14:paraId="49F3D4F7" w14:textId="77777777" w:rsidR="002A1E39" w:rsidRPr="00D45CDE" w:rsidRDefault="002A1E39" w:rsidP="002A1E39">
            <w:pPr>
              <w:rPr>
                <w:rFonts w:ascii="Times New Roman" w:hAnsi="Times New Roman" w:cs="Times New Roman"/>
              </w:rPr>
            </w:pPr>
            <w:r w:rsidRPr="00D45CDE">
              <w:rPr>
                <w:rFonts w:ascii="Times New Roman" w:hAnsi="Times New Roman" w:cs="Times New Roman"/>
              </w:rPr>
              <w:t>Definícia/metóda výpočtu/ merná jednotka (počet podľa definície ukazovateľa)</w:t>
            </w:r>
          </w:p>
        </w:tc>
        <w:tc>
          <w:tcPr>
            <w:tcW w:w="1098" w:type="dxa"/>
          </w:tcPr>
          <w:p w14:paraId="2A3DD715" w14:textId="77777777" w:rsidR="002A1E39" w:rsidRPr="00D45CDE" w:rsidRDefault="00310D42" w:rsidP="002A1E39">
            <w:pPr>
              <w:rPr>
                <w:rFonts w:ascii="Times New Roman" w:hAnsi="Times New Roman" w:cs="Times New Roman"/>
              </w:rPr>
            </w:pPr>
            <w:r w:rsidRPr="00D45CDE">
              <w:rPr>
                <w:rFonts w:ascii="Times New Roman" w:hAnsi="Times New Roman" w:cs="Times New Roman"/>
              </w:rPr>
              <w:t>Plánovaná hodnota</w:t>
            </w:r>
          </w:p>
        </w:tc>
        <w:tc>
          <w:tcPr>
            <w:tcW w:w="2356" w:type="dxa"/>
          </w:tcPr>
          <w:p w14:paraId="217101D2" w14:textId="77777777" w:rsidR="002A1E39" w:rsidRPr="00D45CDE" w:rsidRDefault="002A1E39" w:rsidP="002A1E39">
            <w:pPr>
              <w:rPr>
                <w:rFonts w:ascii="Times New Roman" w:hAnsi="Times New Roman" w:cs="Times New Roman"/>
              </w:rPr>
            </w:pPr>
            <w:r w:rsidRPr="00D45CDE">
              <w:rPr>
                <w:rFonts w:ascii="Times New Roman" w:hAnsi="Times New Roman" w:cs="Times New Roman"/>
              </w:rPr>
              <w:t>Čas plnenia</w:t>
            </w:r>
          </w:p>
        </w:tc>
        <w:tc>
          <w:tcPr>
            <w:tcW w:w="1207" w:type="dxa"/>
          </w:tcPr>
          <w:p w14:paraId="075F89D1" w14:textId="77777777" w:rsidR="002A1E39" w:rsidRPr="00D45CDE" w:rsidRDefault="002A1E39" w:rsidP="002A1E39">
            <w:pPr>
              <w:rPr>
                <w:rFonts w:ascii="Times New Roman" w:hAnsi="Times New Roman" w:cs="Times New Roman"/>
              </w:rPr>
            </w:pPr>
            <w:r w:rsidRPr="00D45CDE">
              <w:rPr>
                <w:rFonts w:ascii="Times New Roman" w:hAnsi="Times New Roman" w:cs="Times New Roman"/>
              </w:rPr>
              <w:t>Príznak rizika</w:t>
            </w:r>
          </w:p>
        </w:tc>
        <w:tc>
          <w:tcPr>
            <w:tcW w:w="2350" w:type="dxa"/>
          </w:tcPr>
          <w:p w14:paraId="7736D710" w14:textId="77777777" w:rsidR="002A1E39" w:rsidRPr="00D45CDE" w:rsidRDefault="002A1E39" w:rsidP="002A1E39">
            <w:pPr>
              <w:rPr>
                <w:rFonts w:ascii="Times New Roman" w:hAnsi="Times New Roman" w:cs="Times New Roman"/>
              </w:rPr>
            </w:pPr>
            <w:r w:rsidRPr="00D45CDE">
              <w:rPr>
                <w:rFonts w:ascii="Times New Roman" w:hAnsi="Times New Roman" w:cs="Times New Roman"/>
              </w:rPr>
              <w:t>Relevancia k HP</w:t>
            </w:r>
          </w:p>
        </w:tc>
      </w:tr>
      <w:tr w:rsidR="004C60AC" w:rsidRPr="00D45CDE" w14:paraId="34FBB5DC" w14:textId="77777777" w:rsidTr="00EB7892">
        <w:trPr>
          <w:trHeight w:val="688"/>
        </w:trPr>
        <w:tc>
          <w:tcPr>
            <w:tcW w:w="1266" w:type="dxa"/>
          </w:tcPr>
          <w:p w14:paraId="0BD05BE1" w14:textId="377C93E3" w:rsidR="004C60AC" w:rsidRPr="00D45CDE" w:rsidRDefault="004C60AC" w:rsidP="002A1E39">
            <w:pPr>
              <w:rPr>
                <w:rFonts w:ascii="Times New Roman" w:hAnsi="Times New Roman" w:cs="Times New Roman"/>
              </w:rPr>
            </w:pPr>
            <w:r>
              <w:rPr>
                <w:rFonts w:ascii="Times New Roman" w:hAnsi="Times New Roman" w:cs="Times New Roman"/>
              </w:rPr>
              <w:t>P0729</w:t>
            </w:r>
          </w:p>
        </w:tc>
        <w:tc>
          <w:tcPr>
            <w:tcW w:w="2170" w:type="dxa"/>
            <w:gridSpan w:val="3"/>
          </w:tcPr>
          <w:p w14:paraId="53616CCD" w14:textId="3F4877F6" w:rsidR="004C60AC" w:rsidRPr="00D45CDE" w:rsidRDefault="002E2805" w:rsidP="002A1E39">
            <w:pPr>
              <w:rPr>
                <w:rFonts w:ascii="Times New Roman" w:hAnsi="Times New Roman" w:cs="Times New Roman"/>
              </w:rPr>
            </w:pPr>
            <w:r w:rsidRPr="002E2805">
              <w:rPr>
                <w:rFonts w:ascii="Times New Roman" w:hAnsi="Times New Roman" w:cs="Times New Roman"/>
              </w:rPr>
              <w:t>Počet osôb zapojených do vzdelávania</w:t>
            </w:r>
          </w:p>
        </w:tc>
        <w:tc>
          <w:tcPr>
            <w:tcW w:w="3545" w:type="dxa"/>
          </w:tcPr>
          <w:p w14:paraId="5B97D8CD" w14:textId="59BB0099" w:rsidR="004C60AC" w:rsidRPr="00D45CDE" w:rsidRDefault="002E2805" w:rsidP="004B0A95">
            <w:pPr>
              <w:rPr>
                <w:rFonts w:ascii="Times New Roman" w:hAnsi="Times New Roman" w:cs="Times New Roman"/>
              </w:rPr>
            </w:pPr>
            <w:r w:rsidRPr="002E2805">
              <w:rPr>
                <w:rFonts w:ascii="Times New Roman" w:hAnsi="Times New Roman" w:cs="Times New Roman"/>
              </w:rPr>
              <w:t>Počet osôb, ktoré sú zapojené do vzdelávacích aktivít v rámci projektu. Za osobu zapojenú do vzdelávacích aktivít sa rozumie  každý frekventant zapojený do vzdelávania bez ohľadu na rozsah jeho účasti alebo   splnenia podmienok pre úspešné absolvovanie vzdelávania.  Zapojené osoby sa vypočítajú ako súčet zapojených osôb do vzdelávania,  vrátane osôb, ktoré    neabsolvovali záverečnú skúšku, nezúčastnili sa záverečnej skúšky, neabsolvovali vzd</w:t>
            </w:r>
            <w:r w:rsidR="004B0A95">
              <w:rPr>
                <w:rFonts w:ascii="Times New Roman" w:hAnsi="Times New Roman" w:cs="Times New Roman"/>
              </w:rPr>
              <w:t>e</w:t>
            </w:r>
            <w:r w:rsidRPr="002E2805">
              <w:rPr>
                <w:rFonts w:ascii="Times New Roman" w:hAnsi="Times New Roman" w:cs="Times New Roman"/>
              </w:rPr>
              <w:t>lávanie v stanovenom rozsahu a</w:t>
            </w:r>
            <w:r>
              <w:rPr>
                <w:rFonts w:ascii="Times New Roman" w:hAnsi="Times New Roman" w:cs="Times New Roman"/>
              </w:rPr>
              <w:t> </w:t>
            </w:r>
            <w:r w:rsidRPr="002E2805">
              <w:rPr>
                <w:rFonts w:ascii="Times New Roman" w:hAnsi="Times New Roman" w:cs="Times New Roman"/>
              </w:rPr>
              <w:t>pod</w:t>
            </w:r>
            <w:r>
              <w:rPr>
                <w:rFonts w:ascii="Times New Roman" w:hAnsi="Times New Roman" w:cs="Times New Roman"/>
              </w:rPr>
              <w:t>.</w:t>
            </w:r>
          </w:p>
        </w:tc>
        <w:tc>
          <w:tcPr>
            <w:tcW w:w="1098" w:type="dxa"/>
          </w:tcPr>
          <w:p w14:paraId="6B6512A0" w14:textId="77777777" w:rsidR="004C60AC" w:rsidRPr="00D45CDE" w:rsidRDefault="004C60AC" w:rsidP="002A1E39">
            <w:pPr>
              <w:rPr>
                <w:rFonts w:ascii="Times New Roman" w:hAnsi="Times New Roman" w:cs="Times New Roman"/>
              </w:rPr>
            </w:pPr>
          </w:p>
        </w:tc>
        <w:tc>
          <w:tcPr>
            <w:tcW w:w="2356" w:type="dxa"/>
          </w:tcPr>
          <w:p w14:paraId="1F888262" w14:textId="3BE1ECFE" w:rsidR="004C60AC" w:rsidRPr="00D45CDE" w:rsidRDefault="002E2805" w:rsidP="002A1E39">
            <w:pPr>
              <w:rPr>
                <w:rFonts w:ascii="Times New Roman" w:hAnsi="Times New Roman" w:cs="Times New Roman"/>
              </w:rPr>
            </w:pPr>
            <w:r w:rsidRPr="002E2805">
              <w:rPr>
                <w:rFonts w:ascii="Times New Roman" w:hAnsi="Times New Roman" w:cs="Times New Roman"/>
              </w:rPr>
              <w:t>Koniec realizácie projektu</w:t>
            </w:r>
          </w:p>
        </w:tc>
        <w:tc>
          <w:tcPr>
            <w:tcW w:w="1207" w:type="dxa"/>
          </w:tcPr>
          <w:p w14:paraId="52FE9FA0" w14:textId="69E126F4" w:rsidR="004C60AC" w:rsidRPr="00D45CDE" w:rsidRDefault="002E2805" w:rsidP="002A1E39">
            <w:pPr>
              <w:rPr>
                <w:rFonts w:ascii="Times New Roman" w:hAnsi="Times New Roman" w:cs="Times New Roman"/>
              </w:rPr>
            </w:pPr>
            <w:r w:rsidRPr="002E2805">
              <w:rPr>
                <w:rFonts w:ascii="Times New Roman" w:hAnsi="Times New Roman" w:cs="Times New Roman"/>
              </w:rPr>
              <w:t>Bez príznaku</w:t>
            </w:r>
          </w:p>
        </w:tc>
        <w:tc>
          <w:tcPr>
            <w:tcW w:w="2350" w:type="dxa"/>
          </w:tcPr>
          <w:p w14:paraId="1DC52C97" w14:textId="3F3043FD" w:rsidR="002E2805" w:rsidRPr="002E2805" w:rsidRDefault="002E2805" w:rsidP="002E2805">
            <w:pPr>
              <w:rPr>
                <w:rFonts w:ascii="Times New Roman" w:hAnsi="Times New Roman" w:cs="Times New Roman"/>
              </w:rPr>
            </w:pPr>
            <w:r>
              <w:rPr>
                <w:rFonts w:ascii="Times New Roman" w:hAnsi="Times New Roman" w:cs="Times New Roman"/>
              </w:rPr>
              <w:t xml:space="preserve">• </w:t>
            </w:r>
            <w:r w:rsidRPr="002E2805">
              <w:rPr>
                <w:rFonts w:ascii="Times New Roman" w:hAnsi="Times New Roman" w:cs="Times New Roman"/>
              </w:rPr>
              <w:t>Udržateľný rozvoj</w:t>
            </w:r>
          </w:p>
          <w:p w14:paraId="0D3E958B" w14:textId="60D259A4" w:rsidR="004C60AC" w:rsidRPr="00D45CDE" w:rsidRDefault="002E2805" w:rsidP="002E2805">
            <w:pPr>
              <w:rPr>
                <w:rFonts w:ascii="Times New Roman" w:hAnsi="Times New Roman" w:cs="Times New Roman"/>
              </w:rPr>
            </w:pPr>
            <w:r>
              <w:rPr>
                <w:rFonts w:ascii="Times New Roman" w:hAnsi="Times New Roman" w:cs="Times New Roman"/>
              </w:rPr>
              <w:t xml:space="preserve">• </w:t>
            </w:r>
            <w:r w:rsidRPr="002E2805">
              <w:rPr>
                <w:rFonts w:ascii="Times New Roman" w:hAnsi="Times New Roman" w:cs="Times New Roman"/>
              </w:rPr>
              <w:t>Rovnosť mužov a žien a nediskriminácia</w:t>
            </w:r>
          </w:p>
        </w:tc>
      </w:tr>
      <w:tr w:rsidR="004B0A95" w:rsidRPr="00D45CDE" w14:paraId="7CD80A00" w14:textId="77777777" w:rsidTr="00EB7892">
        <w:trPr>
          <w:trHeight w:val="688"/>
        </w:trPr>
        <w:tc>
          <w:tcPr>
            <w:tcW w:w="1266" w:type="dxa"/>
          </w:tcPr>
          <w:p w14:paraId="310F04B4" w14:textId="7612C6BE" w:rsidR="004B0A95" w:rsidRDefault="004B0A95" w:rsidP="004B0A95">
            <w:pPr>
              <w:rPr>
                <w:rFonts w:ascii="Times New Roman" w:hAnsi="Times New Roman" w:cs="Times New Roman"/>
              </w:rPr>
            </w:pPr>
            <w:r>
              <w:rPr>
                <w:rFonts w:ascii="Times New Roman" w:hAnsi="Times New Roman" w:cs="Times New Roman"/>
              </w:rPr>
              <w:lastRenderedPageBreak/>
              <w:t>P0722</w:t>
            </w:r>
          </w:p>
        </w:tc>
        <w:tc>
          <w:tcPr>
            <w:tcW w:w="2170" w:type="dxa"/>
            <w:gridSpan w:val="3"/>
          </w:tcPr>
          <w:p w14:paraId="28342E5B" w14:textId="71543EBE" w:rsidR="004B0A95" w:rsidRPr="002E2805" w:rsidRDefault="004B0A95" w:rsidP="004B0A95">
            <w:pPr>
              <w:rPr>
                <w:rFonts w:ascii="Times New Roman" w:hAnsi="Times New Roman" w:cs="Times New Roman"/>
              </w:rPr>
            </w:pPr>
            <w:r w:rsidRPr="004B0A95">
              <w:rPr>
                <w:rFonts w:ascii="Times New Roman" w:hAnsi="Times New Roman" w:cs="Times New Roman"/>
              </w:rPr>
              <w:t>Počet  úspešných absolventov vzdelávacích aktivít</w:t>
            </w:r>
          </w:p>
        </w:tc>
        <w:tc>
          <w:tcPr>
            <w:tcW w:w="3545" w:type="dxa"/>
          </w:tcPr>
          <w:p w14:paraId="74E31F0A" w14:textId="787004FF" w:rsidR="004B0A95" w:rsidRPr="002E2805" w:rsidRDefault="004B0A95" w:rsidP="004B0A95">
            <w:pPr>
              <w:rPr>
                <w:rFonts w:ascii="Times New Roman" w:hAnsi="Times New Roman" w:cs="Times New Roman"/>
              </w:rPr>
            </w:pPr>
            <w:r w:rsidRPr="004B0A95">
              <w:rPr>
                <w:rFonts w:ascii="Times New Roman" w:hAnsi="Times New Roman" w:cs="Times New Roman"/>
              </w:rPr>
              <w:t>Počet účastníkov vzdelávacích aktivít, ktorí úspešne absolvovali vzdelávanie. Úspešným absolventom sa rozumie každý účastník vzdelávania (frekventant), ktorý splnil stanovené podmienky úspešnosti vzdelávania (napr. úspešne absolvoval záverečnú skúšku, získal certifikát, absolvoval stanovený rozsah vzdelávania a pod.)</w:t>
            </w:r>
          </w:p>
        </w:tc>
        <w:tc>
          <w:tcPr>
            <w:tcW w:w="1098" w:type="dxa"/>
          </w:tcPr>
          <w:p w14:paraId="482AB57F" w14:textId="77777777" w:rsidR="004B0A95" w:rsidRPr="00D45CDE" w:rsidRDefault="004B0A95" w:rsidP="004B0A95">
            <w:pPr>
              <w:rPr>
                <w:rFonts w:ascii="Times New Roman" w:hAnsi="Times New Roman" w:cs="Times New Roman"/>
              </w:rPr>
            </w:pPr>
          </w:p>
        </w:tc>
        <w:tc>
          <w:tcPr>
            <w:tcW w:w="2356" w:type="dxa"/>
          </w:tcPr>
          <w:p w14:paraId="2981B483" w14:textId="16EDE362" w:rsidR="004B0A95" w:rsidRPr="002E2805" w:rsidRDefault="004B0A95" w:rsidP="004B0A95">
            <w:pPr>
              <w:rPr>
                <w:rFonts w:ascii="Times New Roman" w:hAnsi="Times New Roman" w:cs="Times New Roman"/>
              </w:rPr>
            </w:pPr>
            <w:r w:rsidRPr="002E2805">
              <w:rPr>
                <w:rFonts w:ascii="Times New Roman" w:hAnsi="Times New Roman" w:cs="Times New Roman"/>
              </w:rPr>
              <w:t>Koniec realizácie projektu</w:t>
            </w:r>
          </w:p>
        </w:tc>
        <w:tc>
          <w:tcPr>
            <w:tcW w:w="1207" w:type="dxa"/>
          </w:tcPr>
          <w:p w14:paraId="6FF6C43A" w14:textId="3F38F1AE" w:rsidR="004B0A95" w:rsidRPr="002E2805" w:rsidRDefault="004B0A95" w:rsidP="004B0A95">
            <w:pPr>
              <w:rPr>
                <w:rFonts w:ascii="Times New Roman" w:hAnsi="Times New Roman" w:cs="Times New Roman"/>
              </w:rPr>
            </w:pPr>
            <w:r w:rsidRPr="002E2805">
              <w:rPr>
                <w:rFonts w:ascii="Times New Roman" w:hAnsi="Times New Roman" w:cs="Times New Roman"/>
              </w:rPr>
              <w:t>Bez príznaku</w:t>
            </w:r>
          </w:p>
        </w:tc>
        <w:tc>
          <w:tcPr>
            <w:tcW w:w="2350" w:type="dxa"/>
          </w:tcPr>
          <w:p w14:paraId="069C7A34" w14:textId="77777777" w:rsidR="004B0A95" w:rsidRPr="002E2805" w:rsidRDefault="004B0A95" w:rsidP="004B0A95">
            <w:pPr>
              <w:rPr>
                <w:rFonts w:ascii="Times New Roman" w:hAnsi="Times New Roman" w:cs="Times New Roman"/>
              </w:rPr>
            </w:pPr>
            <w:r>
              <w:rPr>
                <w:rFonts w:ascii="Times New Roman" w:hAnsi="Times New Roman" w:cs="Times New Roman"/>
              </w:rPr>
              <w:t xml:space="preserve">• </w:t>
            </w:r>
            <w:r w:rsidRPr="002E2805">
              <w:rPr>
                <w:rFonts w:ascii="Times New Roman" w:hAnsi="Times New Roman" w:cs="Times New Roman"/>
              </w:rPr>
              <w:t>Udržateľný rozvoj</w:t>
            </w:r>
          </w:p>
          <w:p w14:paraId="68D2DF93" w14:textId="3C08D623" w:rsidR="004B0A95" w:rsidRDefault="004B0A95" w:rsidP="004B0A95">
            <w:pPr>
              <w:rPr>
                <w:rFonts w:ascii="Times New Roman" w:hAnsi="Times New Roman" w:cs="Times New Roman"/>
              </w:rPr>
            </w:pPr>
            <w:r>
              <w:rPr>
                <w:rFonts w:ascii="Times New Roman" w:hAnsi="Times New Roman" w:cs="Times New Roman"/>
              </w:rPr>
              <w:t xml:space="preserve">• </w:t>
            </w:r>
            <w:r w:rsidRPr="002E2805">
              <w:rPr>
                <w:rFonts w:ascii="Times New Roman" w:hAnsi="Times New Roman" w:cs="Times New Roman"/>
              </w:rPr>
              <w:t>Rovnosť mužov a žien a nediskriminácia</w:t>
            </w:r>
          </w:p>
        </w:tc>
      </w:tr>
      <w:tr w:rsidR="00273B0A" w:rsidRPr="00273B0A" w14:paraId="40826105" w14:textId="77777777" w:rsidTr="00EB7892">
        <w:trPr>
          <w:trHeight w:val="569"/>
        </w:trPr>
        <w:tc>
          <w:tcPr>
            <w:tcW w:w="1955" w:type="dxa"/>
            <w:gridSpan w:val="3"/>
          </w:tcPr>
          <w:p w14:paraId="0706290A" w14:textId="77777777" w:rsidR="00273B0A" w:rsidRPr="00273B0A" w:rsidRDefault="00273B0A" w:rsidP="00273B0A">
            <w:pPr>
              <w:rPr>
                <w:rFonts w:ascii="Times New Roman" w:hAnsi="Times New Roman" w:cs="Times New Roman"/>
              </w:rPr>
            </w:pPr>
            <w:r w:rsidRPr="00273B0A">
              <w:rPr>
                <w:rFonts w:ascii="Times New Roman" w:hAnsi="Times New Roman" w:cs="Times New Roman"/>
              </w:rPr>
              <w:t>Špecifický cieľ</w:t>
            </w:r>
          </w:p>
        </w:tc>
        <w:tc>
          <w:tcPr>
            <w:tcW w:w="12037" w:type="dxa"/>
            <w:gridSpan w:val="6"/>
          </w:tcPr>
          <w:p w14:paraId="32E97035" w14:textId="1CA9E2C3" w:rsidR="00895CFB" w:rsidRPr="00273B0A" w:rsidRDefault="00273B0A" w:rsidP="00273B0A">
            <w:pPr>
              <w:numPr>
                <w:ilvl w:val="1"/>
                <w:numId w:val="5"/>
              </w:numPr>
              <w:rPr>
                <w:rFonts w:ascii="Times New Roman" w:hAnsi="Times New Roman" w:cs="Times New Roman"/>
              </w:rPr>
            </w:pPr>
            <w:r w:rsidRPr="00895CFB">
              <w:rPr>
                <w:rFonts w:ascii="Times New Roman" w:hAnsi="Times New Roman" w:cs="Times New Roman"/>
              </w:rPr>
              <w:t>Skvalitnené  systémy a optimalizované procesy VS</w:t>
            </w:r>
          </w:p>
        </w:tc>
      </w:tr>
      <w:tr w:rsidR="00273B0A" w:rsidRPr="00273B0A" w14:paraId="21EF5C82" w14:textId="77777777" w:rsidTr="00EB7892">
        <w:trPr>
          <w:trHeight w:val="691"/>
        </w:trPr>
        <w:tc>
          <w:tcPr>
            <w:tcW w:w="1955" w:type="dxa"/>
            <w:gridSpan w:val="3"/>
          </w:tcPr>
          <w:p w14:paraId="64D0C665" w14:textId="77777777" w:rsidR="00273B0A" w:rsidRPr="00273B0A" w:rsidRDefault="00273B0A" w:rsidP="00273B0A">
            <w:pPr>
              <w:rPr>
                <w:rFonts w:ascii="Times New Roman" w:hAnsi="Times New Roman" w:cs="Times New Roman"/>
              </w:rPr>
            </w:pPr>
            <w:r w:rsidRPr="00273B0A">
              <w:rPr>
                <w:rFonts w:ascii="Times New Roman" w:hAnsi="Times New Roman" w:cs="Times New Roman"/>
              </w:rPr>
              <w:t>Typ aktivity</w:t>
            </w:r>
          </w:p>
        </w:tc>
        <w:tc>
          <w:tcPr>
            <w:tcW w:w="12037" w:type="dxa"/>
            <w:gridSpan w:val="6"/>
          </w:tcPr>
          <w:p w14:paraId="3857F8C5" w14:textId="0F34EB15" w:rsidR="00273B0A" w:rsidRPr="00273B0A" w:rsidRDefault="00D73860" w:rsidP="00273B0A">
            <w:pPr>
              <w:rPr>
                <w:rFonts w:ascii="Times New Roman" w:hAnsi="Times New Roman" w:cs="Times New Roman"/>
                <w:b/>
              </w:rPr>
            </w:pPr>
            <w:r w:rsidRPr="00D73860">
              <w:rPr>
                <w:rFonts w:ascii="Times New Roman" w:hAnsi="Times New Roman" w:cs="Times New Roman"/>
                <w:b/>
              </w:rPr>
              <w:t>Skvalitnenie služieb VS</w:t>
            </w:r>
          </w:p>
        </w:tc>
      </w:tr>
      <w:tr w:rsidR="000A774F" w:rsidRPr="00D45CDE" w14:paraId="061912AE" w14:textId="77777777" w:rsidTr="00EB7892">
        <w:trPr>
          <w:trHeight w:val="688"/>
        </w:trPr>
        <w:tc>
          <w:tcPr>
            <w:tcW w:w="1266" w:type="dxa"/>
          </w:tcPr>
          <w:p w14:paraId="4469A736" w14:textId="0E54C6F8" w:rsidR="000A774F" w:rsidRPr="00D45CDE" w:rsidRDefault="00C75F2F" w:rsidP="000A774F">
            <w:pPr>
              <w:rPr>
                <w:rFonts w:ascii="Times New Roman" w:hAnsi="Times New Roman" w:cs="Times New Roman"/>
              </w:rPr>
            </w:pPr>
            <w:r>
              <w:rPr>
                <w:rFonts w:ascii="Times New Roman" w:hAnsi="Times New Roman" w:cs="Times New Roman"/>
              </w:rPr>
              <w:t>P0178</w:t>
            </w:r>
          </w:p>
        </w:tc>
        <w:tc>
          <w:tcPr>
            <w:tcW w:w="2170" w:type="dxa"/>
            <w:gridSpan w:val="3"/>
          </w:tcPr>
          <w:p w14:paraId="2440A0E1" w14:textId="67499E8F" w:rsidR="000A774F" w:rsidRPr="00D45CDE" w:rsidRDefault="00C75F2F" w:rsidP="000A774F">
            <w:pPr>
              <w:rPr>
                <w:rFonts w:ascii="Times New Roman" w:hAnsi="Times New Roman" w:cs="Times New Roman"/>
              </w:rPr>
            </w:pPr>
            <w:r w:rsidRPr="00C75F2F">
              <w:rPr>
                <w:rFonts w:ascii="Times New Roman" w:hAnsi="Times New Roman" w:cs="Times New Roman"/>
              </w:rPr>
              <w:t>Počet koncepčných, analytických a metodických materiálov</w:t>
            </w:r>
          </w:p>
        </w:tc>
        <w:tc>
          <w:tcPr>
            <w:tcW w:w="3545" w:type="dxa"/>
          </w:tcPr>
          <w:p w14:paraId="5E689E8B" w14:textId="7CBADFEC" w:rsidR="000A774F" w:rsidRPr="00D45CDE" w:rsidRDefault="00C75F2F" w:rsidP="000A774F">
            <w:pPr>
              <w:rPr>
                <w:rFonts w:ascii="Times New Roman" w:hAnsi="Times New Roman" w:cs="Times New Roman"/>
                <w:color w:val="000000"/>
              </w:rPr>
            </w:pPr>
            <w:r w:rsidRPr="00C75F2F">
              <w:rPr>
                <w:rFonts w:ascii="Times New Roman" w:hAnsi="Times New Roman" w:cs="Times New Roman"/>
                <w:color w:val="000000"/>
              </w:rPr>
              <w:t>Celkový počet koncepčných, analytických a metodických materiálov vypracovaných prostredníctvom zrealizovaných projektov.</w:t>
            </w:r>
          </w:p>
        </w:tc>
        <w:tc>
          <w:tcPr>
            <w:tcW w:w="1098" w:type="dxa"/>
          </w:tcPr>
          <w:p w14:paraId="6E972D49" w14:textId="77777777" w:rsidR="000A774F" w:rsidRPr="00D45CDE" w:rsidRDefault="000A774F" w:rsidP="000A774F">
            <w:pPr>
              <w:rPr>
                <w:rFonts w:ascii="Times New Roman" w:hAnsi="Times New Roman" w:cs="Times New Roman"/>
              </w:rPr>
            </w:pPr>
          </w:p>
        </w:tc>
        <w:tc>
          <w:tcPr>
            <w:tcW w:w="2356" w:type="dxa"/>
          </w:tcPr>
          <w:p w14:paraId="2B1AF1D3" w14:textId="78B93F51" w:rsidR="00C75F2F" w:rsidRPr="00C75F2F" w:rsidRDefault="00C75F2F" w:rsidP="00C75F2F">
            <w:pPr>
              <w:rPr>
                <w:rFonts w:ascii="Times New Roman" w:hAnsi="Times New Roman" w:cs="Times New Roman"/>
              </w:rPr>
            </w:pPr>
            <w:r w:rsidRPr="00C75F2F">
              <w:rPr>
                <w:rFonts w:ascii="Times New Roman" w:hAnsi="Times New Roman" w:cs="Times New Roman"/>
              </w:rPr>
              <w:t>Koniec realizácie projektu</w:t>
            </w:r>
            <w:r w:rsidRPr="00C75F2F">
              <w:rPr>
                <w:rFonts w:ascii="Times New Roman" w:hAnsi="Times New Roman" w:cs="Times New Roman"/>
              </w:rPr>
              <w:tab/>
            </w:r>
            <w:r w:rsidRPr="00C75F2F">
              <w:rPr>
                <w:rFonts w:ascii="Times New Roman" w:hAnsi="Times New Roman" w:cs="Times New Roman"/>
              </w:rPr>
              <w:tab/>
            </w:r>
          </w:p>
          <w:p w14:paraId="38B12DD9" w14:textId="002537BB" w:rsidR="000A774F" w:rsidRPr="00D45CDE" w:rsidRDefault="000A774F" w:rsidP="00C75F2F">
            <w:pPr>
              <w:rPr>
                <w:rFonts w:ascii="Times New Roman" w:hAnsi="Times New Roman" w:cs="Times New Roman"/>
              </w:rPr>
            </w:pPr>
          </w:p>
        </w:tc>
        <w:tc>
          <w:tcPr>
            <w:tcW w:w="1207" w:type="dxa"/>
          </w:tcPr>
          <w:p w14:paraId="0038C011" w14:textId="210AF393" w:rsidR="000A774F" w:rsidRPr="00D45CDE" w:rsidRDefault="002126A2" w:rsidP="002126A2">
            <w:pPr>
              <w:rPr>
                <w:rFonts w:ascii="Times New Roman" w:hAnsi="Times New Roman" w:cs="Times New Roman"/>
              </w:rPr>
            </w:pPr>
            <w:r>
              <w:rPr>
                <w:rFonts w:ascii="Times New Roman" w:hAnsi="Times New Roman" w:cs="Times New Roman"/>
              </w:rPr>
              <w:t>S</w:t>
            </w:r>
            <w:r w:rsidR="00C75F2F" w:rsidRPr="00C75F2F">
              <w:rPr>
                <w:rFonts w:ascii="Times New Roman" w:hAnsi="Times New Roman" w:cs="Times New Roman"/>
              </w:rPr>
              <w:t xml:space="preserve"> príznak</w:t>
            </w:r>
            <w:r>
              <w:rPr>
                <w:rFonts w:ascii="Times New Roman" w:hAnsi="Times New Roman" w:cs="Times New Roman"/>
              </w:rPr>
              <w:t>om</w:t>
            </w:r>
          </w:p>
        </w:tc>
        <w:tc>
          <w:tcPr>
            <w:tcW w:w="2350" w:type="dxa"/>
          </w:tcPr>
          <w:p w14:paraId="75BF086C" w14:textId="77777777" w:rsidR="00C75F2F" w:rsidRPr="00C75F2F" w:rsidRDefault="00C75F2F" w:rsidP="00C75F2F">
            <w:pPr>
              <w:rPr>
                <w:rFonts w:ascii="Times New Roman" w:hAnsi="Times New Roman" w:cs="Times New Roman"/>
              </w:rPr>
            </w:pPr>
            <w:r w:rsidRPr="00C75F2F">
              <w:rPr>
                <w:rFonts w:ascii="Times New Roman" w:hAnsi="Times New Roman" w:cs="Times New Roman"/>
              </w:rPr>
              <w:t>• Udržateľný rozvoj</w:t>
            </w:r>
          </w:p>
          <w:p w14:paraId="1C2D04AD" w14:textId="0380E605" w:rsidR="000A774F" w:rsidRPr="00D45CDE" w:rsidRDefault="000A774F" w:rsidP="00B01FE7">
            <w:pPr>
              <w:rPr>
                <w:rFonts w:ascii="Times New Roman" w:hAnsi="Times New Roman" w:cs="Times New Roman"/>
              </w:rPr>
            </w:pPr>
          </w:p>
        </w:tc>
      </w:tr>
      <w:tr w:rsidR="00EB7892" w:rsidRPr="00EB7892" w14:paraId="1B8CA25E" w14:textId="77777777" w:rsidTr="00EB7892">
        <w:trPr>
          <w:trHeight w:val="688"/>
        </w:trPr>
        <w:tc>
          <w:tcPr>
            <w:tcW w:w="1718" w:type="dxa"/>
            <w:gridSpan w:val="2"/>
          </w:tcPr>
          <w:p w14:paraId="732D5FC3" w14:textId="366407F9" w:rsidR="00EB7892" w:rsidRPr="00EB7892" w:rsidRDefault="00EB7892" w:rsidP="000A774F">
            <w:pPr>
              <w:rPr>
                <w:rFonts w:ascii="Times New Roman" w:hAnsi="Times New Roman" w:cs="Times New Roman"/>
                <w:b/>
              </w:rPr>
            </w:pPr>
            <w:r w:rsidRPr="00EB7892">
              <w:rPr>
                <w:rFonts w:ascii="Times New Roman" w:hAnsi="Times New Roman" w:cs="Times New Roman"/>
                <w:b/>
              </w:rPr>
              <w:t>Typ aktivity</w:t>
            </w:r>
          </w:p>
        </w:tc>
        <w:tc>
          <w:tcPr>
            <w:tcW w:w="12274" w:type="dxa"/>
            <w:gridSpan w:val="7"/>
          </w:tcPr>
          <w:p w14:paraId="2CB44A21" w14:textId="3FC7E6C6" w:rsidR="00EB7892" w:rsidRPr="00EB7892" w:rsidRDefault="00EB7892" w:rsidP="000A774F">
            <w:pPr>
              <w:rPr>
                <w:rFonts w:ascii="Times New Roman" w:hAnsi="Times New Roman" w:cs="Times New Roman"/>
                <w:b/>
              </w:rPr>
            </w:pPr>
            <w:r w:rsidRPr="00EB7892">
              <w:rPr>
                <w:rFonts w:ascii="Times New Roman" w:hAnsi="Times New Roman" w:cs="Times New Roman"/>
                <w:b/>
              </w:rPr>
              <w:t>Zavedenie systémov riadenia kvality</w:t>
            </w:r>
          </w:p>
        </w:tc>
      </w:tr>
      <w:tr w:rsidR="00EB7892" w:rsidRPr="00EB7892" w14:paraId="4ADCA0B6" w14:textId="77777777" w:rsidTr="00EB7892">
        <w:trPr>
          <w:trHeight w:val="688"/>
        </w:trPr>
        <w:tc>
          <w:tcPr>
            <w:tcW w:w="1266" w:type="dxa"/>
          </w:tcPr>
          <w:p w14:paraId="68E3DD45" w14:textId="0F05CCA3" w:rsidR="00EB7892" w:rsidRPr="00EB7892" w:rsidRDefault="00EB7892" w:rsidP="000A774F">
            <w:pPr>
              <w:rPr>
                <w:rFonts w:ascii="Times New Roman" w:hAnsi="Times New Roman" w:cs="Times New Roman"/>
                <w:b/>
              </w:rPr>
            </w:pPr>
            <w:r w:rsidRPr="00D45CDE">
              <w:rPr>
                <w:rFonts w:ascii="Times New Roman" w:hAnsi="Times New Roman" w:cs="Times New Roman"/>
              </w:rPr>
              <w:t xml:space="preserve">P0587 </w:t>
            </w:r>
          </w:p>
        </w:tc>
        <w:tc>
          <w:tcPr>
            <w:tcW w:w="2170" w:type="dxa"/>
            <w:gridSpan w:val="3"/>
          </w:tcPr>
          <w:p w14:paraId="08AC9196" w14:textId="6C8851F8" w:rsidR="00EB7892" w:rsidRPr="00EB7892" w:rsidRDefault="00EB7892" w:rsidP="000A774F">
            <w:pPr>
              <w:rPr>
                <w:rFonts w:ascii="Times New Roman" w:hAnsi="Times New Roman" w:cs="Times New Roman"/>
                <w:b/>
              </w:rPr>
            </w:pPr>
            <w:r w:rsidRPr="00D45CDE">
              <w:rPr>
                <w:rFonts w:ascii="Times New Roman" w:hAnsi="Times New Roman" w:cs="Times New Roman"/>
              </w:rPr>
              <w:t>Počet zrealizovaných hodnotení, analýz a štúdií</w:t>
            </w:r>
          </w:p>
        </w:tc>
        <w:tc>
          <w:tcPr>
            <w:tcW w:w="3545" w:type="dxa"/>
          </w:tcPr>
          <w:p w14:paraId="5F59E216" w14:textId="3C824CB7" w:rsidR="00EB7892" w:rsidRPr="00EB7892" w:rsidRDefault="00EB7892" w:rsidP="00F9465E">
            <w:pPr>
              <w:rPr>
                <w:rFonts w:ascii="Times New Roman" w:hAnsi="Times New Roman" w:cs="Times New Roman"/>
                <w:b/>
                <w:color w:val="000000"/>
              </w:rPr>
            </w:pPr>
            <w:r w:rsidRPr="00D45CDE">
              <w:rPr>
                <w:rFonts w:ascii="Times New Roman" w:hAnsi="Times New Roman" w:cs="Times New Roman"/>
                <w:color w:val="000000"/>
              </w:rPr>
              <w:t>Počet všetkých zrealizovaných  materiálov (napr. hodnotenia, štúdie, posudky, analýzy a pod.) Ukazovateľ sleduje oblasť hodnotení, štúdii, posudkov, analýz a pod. vypracovaných v rámci OP</w:t>
            </w:r>
          </w:p>
        </w:tc>
        <w:tc>
          <w:tcPr>
            <w:tcW w:w="1098" w:type="dxa"/>
          </w:tcPr>
          <w:p w14:paraId="1643417C" w14:textId="77777777" w:rsidR="00EB7892" w:rsidRPr="00EB7892" w:rsidRDefault="00EB7892" w:rsidP="000A774F">
            <w:pPr>
              <w:rPr>
                <w:rFonts w:ascii="Times New Roman" w:hAnsi="Times New Roman" w:cs="Times New Roman"/>
                <w:b/>
              </w:rPr>
            </w:pPr>
          </w:p>
        </w:tc>
        <w:tc>
          <w:tcPr>
            <w:tcW w:w="2356" w:type="dxa"/>
          </w:tcPr>
          <w:p w14:paraId="2D33DD35" w14:textId="69B5CFBC" w:rsidR="00EB7892" w:rsidRPr="0007481C" w:rsidRDefault="0007481C" w:rsidP="0007481C">
            <w:pPr>
              <w:rPr>
                <w:rFonts w:ascii="Times New Roman" w:hAnsi="Times New Roman" w:cs="Times New Roman"/>
              </w:rPr>
            </w:pPr>
            <w:r w:rsidRPr="0007481C">
              <w:rPr>
                <w:rFonts w:ascii="Times New Roman" w:hAnsi="Times New Roman" w:cs="Times New Roman"/>
              </w:rPr>
              <w:t xml:space="preserve">Koniec realizácie </w:t>
            </w:r>
            <w:bookmarkStart w:id="0" w:name="_GoBack"/>
            <w:bookmarkEnd w:id="0"/>
            <w:r w:rsidRPr="0007481C">
              <w:rPr>
                <w:rFonts w:ascii="Times New Roman" w:hAnsi="Times New Roman" w:cs="Times New Roman"/>
              </w:rPr>
              <w:t>projektu</w:t>
            </w:r>
          </w:p>
        </w:tc>
        <w:tc>
          <w:tcPr>
            <w:tcW w:w="1207" w:type="dxa"/>
          </w:tcPr>
          <w:p w14:paraId="39BA05B5" w14:textId="4994D2C7" w:rsidR="00EB7892" w:rsidRPr="00EB7892" w:rsidRDefault="00EB7892" w:rsidP="000A774F">
            <w:pPr>
              <w:rPr>
                <w:rFonts w:ascii="Times New Roman" w:hAnsi="Times New Roman" w:cs="Times New Roman"/>
                <w:b/>
              </w:rPr>
            </w:pPr>
            <w:r w:rsidRPr="00D45CDE">
              <w:rPr>
                <w:rFonts w:ascii="Times New Roman" w:hAnsi="Times New Roman" w:cs="Times New Roman"/>
              </w:rPr>
              <w:t>Bez príznaku</w:t>
            </w:r>
          </w:p>
        </w:tc>
        <w:tc>
          <w:tcPr>
            <w:tcW w:w="2350" w:type="dxa"/>
          </w:tcPr>
          <w:p w14:paraId="3079C739" w14:textId="6D66FAB3" w:rsidR="00EB7892" w:rsidRPr="00EB7892" w:rsidRDefault="00EB7892" w:rsidP="000A774F">
            <w:pPr>
              <w:rPr>
                <w:rFonts w:ascii="Times New Roman" w:hAnsi="Times New Roman" w:cs="Times New Roman"/>
                <w:b/>
              </w:rPr>
            </w:pPr>
            <w:r w:rsidRPr="00D45CDE">
              <w:rPr>
                <w:rFonts w:ascii="Times New Roman" w:hAnsi="Times New Roman" w:cs="Times New Roman"/>
              </w:rPr>
              <w:t>N/A</w:t>
            </w:r>
          </w:p>
        </w:tc>
      </w:tr>
    </w:tbl>
    <w:p w14:paraId="5922363C" w14:textId="77777777" w:rsidR="003D6D69" w:rsidRDefault="003D6D69" w:rsidP="00E32E47">
      <w:pPr>
        <w:jc w:val="both"/>
        <w:rPr>
          <w:rFonts w:ascii="Times New Roman" w:hAnsi="Times New Roman" w:cs="Times New Roman"/>
          <w:b/>
          <w:bCs/>
          <w:color w:val="000000"/>
          <w:sz w:val="23"/>
          <w:szCs w:val="23"/>
        </w:rPr>
      </w:pPr>
    </w:p>
    <w:p w14:paraId="03BC0BF8" w14:textId="6023E0B0" w:rsidR="00E32E47" w:rsidRPr="00D45CDE" w:rsidRDefault="00E32E47" w:rsidP="00E32E47">
      <w:pPr>
        <w:jc w:val="both"/>
        <w:rPr>
          <w:rFonts w:ascii="Times New Roman" w:hAnsi="Times New Roman" w:cs="Times New Roman"/>
          <w:color w:val="404040"/>
          <w:sz w:val="20"/>
          <w:szCs w:val="20"/>
        </w:rPr>
      </w:pPr>
      <w:r w:rsidRPr="00D45CDE">
        <w:rPr>
          <w:rFonts w:ascii="Times New Roman" w:hAnsi="Times New Roman" w:cs="Times New Roman"/>
          <w:b/>
          <w:bCs/>
          <w:color w:val="000000"/>
          <w:sz w:val="23"/>
          <w:szCs w:val="23"/>
        </w:rPr>
        <w:t xml:space="preserve">Poznámka: </w:t>
      </w:r>
      <w:r w:rsidRPr="00D45CDE">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miesto: </w:t>
      </w:r>
      <w:r w:rsidRPr="00D45CDE">
        <w:rPr>
          <w:rFonts w:ascii="Times New Roman" w:hAnsi="Times New Roman" w:cs="Times New Roman"/>
        </w:rPr>
        <w:t>88,33 menej rozvinutý región/11,67 rozvinutejší región</w:t>
      </w:r>
      <w:r w:rsidRPr="00D45CDE">
        <w:rPr>
          <w:rFonts w:ascii="Times New Roman" w:hAnsi="Times New Roman" w:cs="Times New Roman"/>
          <w:color w:val="404040"/>
        </w:rPr>
        <w:t>.</w:t>
      </w:r>
    </w:p>
    <w:p w14:paraId="530E23FE" w14:textId="77777777" w:rsidR="00AA09DF" w:rsidRPr="00D45CDE" w:rsidRDefault="00AA09DF" w:rsidP="002A1E39">
      <w:pPr>
        <w:rPr>
          <w:rFonts w:ascii="Times New Roman" w:hAnsi="Times New Roman" w:cs="Times New Roman"/>
          <w:sz w:val="23"/>
          <w:szCs w:val="23"/>
        </w:rPr>
      </w:pPr>
    </w:p>
    <w:sectPr w:rsidR="00AA09DF" w:rsidRPr="00D45CDE" w:rsidSect="002A1E39">
      <w:headerReference w:type="default" r:id="rId11"/>
      <w:headerReference w:type="first" r:id="rId12"/>
      <w:pgSz w:w="16838" w:h="11906" w:orient="landscape"/>
      <w:pgMar w:top="1701" w:right="1418" w:bottom="1276" w:left="1418" w:header="284" w:footer="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CA8AC" w14:textId="77777777" w:rsidR="001F1131" w:rsidRDefault="001F1131" w:rsidP="00BE3A1E">
      <w:pPr>
        <w:spacing w:after="0" w:line="240" w:lineRule="auto"/>
      </w:pPr>
      <w:r>
        <w:separator/>
      </w:r>
    </w:p>
  </w:endnote>
  <w:endnote w:type="continuationSeparator" w:id="0">
    <w:p w14:paraId="1D723A4F" w14:textId="77777777" w:rsidR="001F1131" w:rsidRDefault="001F1131" w:rsidP="00BE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mbria">
    <w:altName w:val="Palatino Linotype"/>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2EE10" w14:textId="77777777" w:rsidR="001F1131" w:rsidRDefault="001F1131" w:rsidP="00BE3A1E">
      <w:pPr>
        <w:spacing w:after="0" w:line="240" w:lineRule="auto"/>
      </w:pPr>
      <w:r>
        <w:separator/>
      </w:r>
    </w:p>
  </w:footnote>
  <w:footnote w:type="continuationSeparator" w:id="0">
    <w:p w14:paraId="620E296E" w14:textId="77777777" w:rsidR="001F1131" w:rsidRDefault="001F1131" w:rsidP="00BE3A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B4A99" w14:textId="77777777" w:rsidR="00E9094E" w:rsidRDefault="00E9094E">
    <w:pPr>
      <w:pStyle w:val="Hlavika"/>
    </w:pPr>
    <w:r>
      <w:t xml:space="preserve">                               </w:t>
    </w:r>
    <w:r>
      <w:tab/>
    </w:r>
    <w:r>
      <w:tab/>
    </w:r>
    <w:r>
      <w:tab/>
    </w:r>
  </w:p>
  <w:p w14:paraId="56399471" w14:textId="77777777" w:rsidR="00AA09DF" w:rsidRDefault="00AA09D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F7D4A" w14:textId="77777777" w:rsidR="002A1E39" w:rsidRDefault="002A1E39" w:rsidP="002A1E39">
    <w:pPr>
      <w:pStyle w:val="Hlavika"/>
      <w:jc w:val="right"/>
    </w:pPr>
    <w:r>
      <w:tab/>
    </w:r>
    <w:r>
      <w:rPr>
        <w:rFonts w:eastAsia="Times New Roman"/>
        <w:noProof/>
        <w:lang w:eastAsia="sk-SK"/>
      </w:rPr>
      <w:drawing>
        <wp:inline distT="0" distB="0" distL="0" distR="0" wp14:anchorId="65E5D857" wp14:editId="3DA95F0B">
          <wp:extent cx="3013200" cy="536400"/>
          <wp:effectExtent l="0" t="0" r="0" b="0"/>
          <wp:docPr id="32" name="Obrázok 32"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p w14:paraId="2A363203" w14:textId="7C9BDA7A" w:rsidR="002A1E39" w:rsidRDefault="002A1E39" w:rsidP="002A1E39">
    <w:pPr>
      <w:pStyle w:val="Hlavika"/>
      <w:jc w:val="right"/>
    </w:pPr>
    <w:r w:rsidRPr="005E0DA8">
      <w:rPr>
        <w:rFonts w:ascii="Times New Roman" w:hAnsi="Times New Roman" w:cs="Times New Roman"/>
      </w:rPr>
      <w:t xml:space="preserve">Príloha č. 3 </w:t>
    </w:r>
    <w:r w:rsidR="0088299A">
      <w:rPr>
        <w:rFonts w:ascii="Times New Roman" w:hAnsi="Times New Roman" w:cs="Times New Roman"/>
      </w:rPr>
      <w:t>k v</w:t>
    </w:r>
    <w:r w:rsidRPr="005E0DA8">
      <w:rPr>
        <w:rFonts w:ascii="Times New Roman" w:hAnsi="Times New Roman" w:cs="Times New Roman"/>
      </w:rPr>
      <w:t>yzvani</w:t>
    </w:r>
    <w:r w:rsidR="0088299A">
      <w:rPr>
        <w:rFonts w:ascii="Times New Roman" w:hAnsi="Times New Roman" w:cs="Times New Roman"/>
      </w:rPr>
      <w:t>u</w:t>
    </w:r>
  </w:p>
  <w:p w14:paraId="7C29646C" w14:textId="77777777" w:rsidR="002A1E39" w:rsidRDefault="002A1E3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EAB4D47"/>
    <w:multiLevelType w:val="hybridMultilevel"/>
    <w:tmpl w:val="CADCD1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2C88104B"/>
    <w:multiLevelType w:val="hybridMultilevel"/>
    <w:tmpl w:val="F8884068"/>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70362759"/>
    <w:multiLevelType w:val="multilevel"/>
    <w:tmpl w:val="3C145C5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84D03D5"/>
    <w:multiLevelType w:val="multilevel"/>
    <w:tmpl w:val="448AB73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E2C27"/>
    <w:rsid w:val="0000724E"/>
    <w:rsid w:val="00010DC2"/>
    <w:rsid w:val="00013E1F"/>
    <w:rsid w:val="00066755"/>
    <w:rsid w:val="0007481C"/>
    <w:rsid w:val="00092B28"/>
    <w:rsid w:val="000A774F"/>
    <w:rsid w:val="000B7F42"/>
    <w:rsid w:val="000C0DB0"/>
    <w:rsid w:val="000D1C7A"/>
    <w:rsid w:val="000D29FD"/>
    <w:rsid w:val="000F3801"/>
    <w:rsid w:val="00101B58"/>
    <w:rsid w:val="00105C69"/>
    <w:rsid w:val="001345B8"/>
    <w:rsid w:val="001829B7"/>
    <w:rsid w:val="0019547E"/>
    <w:rsid w:val="001971A5"/>
    <w:rsid w:val="001C261A"/>
    <w:rsid w:val="001E14D4"/>
    <w:rsid w:val="001E3215"/>
    <w:rsid w:val="001F1131"/>
    <w:rsid w:val="00207535"/>
    <w:rsid w:val="002126A2"/>
    <w:rsid w:val="002336CB"/>
    <w:rsid w:val="00251AFF"/>
    <w:rsid w:val="00273B0A"/>
    <w:rsid w:val="002A15FE"/>
    <w:rsid w:val="002A1E39"/>
    <w:rsid w:val="002C124B"/>
    <w:rsid w:val="002D0719"/>
    <w:rsid w:val="002E2805"/>
    <w:rsid w:val="002F57B6"/>
    <w:rsid w:val="002F5FC9"/>
    <w:rsid w:val="002F74C2"/>
    <w:rsid w:val="00303685"/>
    <w:rsid w:val="00310014"/>
    <w:rsid w:val="00310D42"/>
    <w:rsid w:val="00325F24"/>
    <w:rsid w:val="003358DC"/>
    <w:rsid w:val="00342733"/>
    <w:rsid w:val="00343A7E"/>
    <w:rsid w:val="00346440"/>
    <w:rsid w:val="003506B7"/>
    <w:rsid w:val="00364E77"/>
    <w:rsid w:val="00397702"/>
    <w:rsid w:val="003D2523"/>
    <w:rsid w:val="003D6D69"/>
    <w:rsid w:val="003E2A4E"/>
    <w:rsid w:val="003E5565"/>
    <w:rsid w:val="0041595E"/>
    <w:rsid w:val="004466E8"/>
    <w:rsid w:val="00475807"/>
    <w:rsid w:val="00481F83"/>
    <w:rsid w:val="00486C58"/>
    <w:rsid w:val="004A7D56"/>
    <w:rsid w:val="004B0A95"/>
    <w:rsid w:val="004C60AC"/>
    <w:rsid w:val="004E508E"/>
    <w:rsid w:val="005060A2"/>
    <w:rsid w:val="00506CFA"/>
    <w:rsid w:val="00524B81"/>
    <w:rsid w:val="00596D87"/>
    <w:rsid w:val="005C449A"/>
    <w:rsid w:val="00611079"/>
    <w:rsid w:val="00622754"/>
    <w:rsid w:val="00637E28"/>
    <w:rsid w:val="00656CCA"/>
    <w:rsid w:val="00667E48"/>
    <w:rsid w:val="00686709"/>
    <w:rsid w:val="006D597F"/>
    <w:rsid w:val="006E3E7E"/>
    <w:rsid w:val="006F076D"/>
    <w:rsid w:val="006F495D"/>
    <w:rsid w:val="007158B5"/>
    <w:rsid w:val="007235C2"/>
    <w:rsid w:val="007330A1"/>
    <w:rsid w:val="00734427"/>
    <w:rsid w:val="00734F79"/>
    <w:rsid w:val="007358EA"/>
    <w:rsid w:val="00752D0D"/>
    <w:rsid w:val="0077554C"/>
    <w:rsid w:val="007A6B16"/>
    <w:rsid w:val="007A717F"/>
    <w:rsid w:val="007C41E5"/>
    <w:rsid w:val="007D08B0"/>
    <w:rsid w:val="007D4071"/>
    <w:rsid w:val="007E45E9"/>
    <w:rsid w:val="007F6D65"/>
    <w:rsid w:val="0085404F"/>
    <w:rsid w:val="00857B78"/>
    <w:rsid w:val="00860C7A"/>
    <w:rsid w:val="0088299A"/>
    <w:rsid w:val="00895CFB"/>
    <w:rsid w:val="008E116A"/>
    <w:rsid w:val="008E2C27"/>
    <w:rsid w:val="008F4FFB"/>
    <w:rsid w:val="00914EF0"/>
    <w:rsid w:val="0092340D"/>
    <w:rsid w:val="009376BB"/>
    <w:rsid w:val="009463FF"/>
    <w:rsid w:val="00973181"/>
    <w:rsid w:val="0099533B"/>
    <w:rsid w:val="009A1BAA"/>
    <w:rsid w:val="009D14AD"/>
    <w:rsid w:val="009D23B7"/>
    <w:rsid w:val="009E00C6"/>
    <w:rsid w:val="009E3292"/>
    <w:rsid w:val="00A003D8"/>
    <w:rsid w:val="00A17B6E"/>
    <w:rsid w:val="00A204DE"/>
    <w:rsid w:val="00A23BAF"/>
    <w:rsid w:val="00A51F94"/>
    <w:rsid w:val="00A81B08"/>
    <w:rsid w:val="00A832B4"/>
    <w:rsid w:val="00A94C78"/>
    <w:rsid w:val="00A94F92"/>
    <w:rsid w:val="00AA09DF"/>
    <w:rsid w:val="00AB62B9"/>
    <w:rsid w:val="00AB6E9B"/>
    <w:rsid w:val="00AE05B0"/>
    <w:rsid w:val="00AE0AA3"/>
    <w:rsid w:val="00B01FE7"/>
    <w:rsid w:val="00B36DE8"/>
    <w:rsid w:val="00B40FE0"/>
    <w:rsid w:val="00B56CDA"/>
    <w:rsid w:val="00B630A4"/>
    <w:rsid w:val="00B74430"/>
    <w:rsid w:val="00B82EC6"/>
    <w:rsid w:val="00BC3768"/>
    <w:rsid w:val="00BE13D9"/>
    <w:rsid w:val="00BE3A1E"/>
    <w:rsid w:val="00C1434A"/>
    <w:rsid w:val="00C15B41"/>
    <w:rsid w:val="00C22728"/>
    <w:rsid w:val="00C43EBB"/>
    <w:rsid w:val="00C75F2F"/>
    <w:rsid w:val="00C7627A"/>
    <w:rsid w:val="00C777AB"/>
    <w:rsid w:val="00C91317"/>
    <w:rsid w:val="00CA2572"/>
    <w:rsid w:val="00CC0D38"/>
    <w:rsid w:val="00CC15EA"/>
    <w:rsid w:val="00CD1807"/>
    <w:rsid w:val="00CD2DD6"/>
    <w:rsid w:val="00D055B1"/>
    <w:rsid w:val="00D45CDE"/>
    <w:rsid w:val="00D52D42"/>
    <w:rsid w:val="00D73860"/>
    <w:rsid w:val="00D82191"/>
    <w:rsid w:val="00D86378"/>
    <w:rsid w:val="00DF1102"/>
    <w:rsid w:val="00DF7C42"/>
    <w:rsid w:val="00E24DAF"/>
    <w:rsid w:val="00E26B23"/>
    <w:rsid w:val="00E27B5F"/>
    <w:rsid w:val="00E32E47"/>
    <w:rsid w:val="00E345DE"/>
    <w:rsid w:val="00E365C0"/>
    <w:rsid w:val="00E4647F"/>
    <w:rsid w:val="00E508A3"/>
    <w:rsid w:val="00E52739"/>
    <w:rsid w:val="00E762F9"/>
    <w:rsid w:val="00E9094E"/>
    <w:rsid w:val="00EA41F0"/>
    <w:rsid w:val="00EB4DFB"/>
    <w:rsid w:val="00EB7892"/>
    <w:rsid w:val="00EC75C9"/>
    <w:rsid w:val="00ED4009"/>
    <w:rsid w:val="00ED4579"/>
    <w:rsid w:val="00EE040E"/>
    <w:rsid w:val="00F04BEB"/>
    <w:rsid w:val="00F07FD0"/>
    <w:rsid w:val="00F14885"/>
    <w:rsid w:val="00F6211E"/>
    <w:rsid w:val="00F9465E"/>
    <w:rsid w:val="00F9678E"/>
    <w:rsid w:val="00FA254F"/>
    <w:rsid w:val="00FF3C09"/>
    <w:rsid w:val="00FF59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E6C0C"/>
  <w15:docId w15:val="{3C4DB25D-A853-422B-BB48-45515857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73B0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semiHidden/>
    <w:unhideWhenUsed/>
    <w:rsid w:val="00AE0AA3"/>
    <w:rPr>
      <w:sz w:val="16"/>
      <w:szCs w:val="16"/>
    </w:rPr>
  </w:style>
  <w:style w:type="paragraph" w:styleId="Textkomentra">
    <w:name w:val="annotation text"/>
    <w:basedOn w:val="Normlny"/>
    <w:link w:val="TextkomentraChar"/>
    <w:uiPriority w:val="99"/>
    <w:semiHidden/>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semiHidden/>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styleId="Textpoznmkypodiarou">
    <w:name w:val="footnote text"/>
    <w:basedOn w:val="Normlny"/>
    <w:link w:val="TextpoznmkypodiarouChar"/>
    <w:uiPriority w:val="99"/>
    <w:unhideWhenUsed/>
    <w:rsid w:val="00857B7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857B78"/>
    <w:rPr>
      <w:sz w:val="20"/>
      <w:szCs w:val="20"/>
    </w:rPr>
  </w:style>
  <w:style w:type="character" w:styleId="Odkaznapoznmkupodiarou">
    <w:name w:val="footnote reference"/>
    <w:basedOn w:val="Predvolenpsmoodseku"/>
    <w:uiPriority w:val="99"/>
    <w:semiHidden/>
    <w:unhideWhenUsed/>
    <w:rsid w:val="00857B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377856217">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2.xml><?xml version="1.0" encoding="utf-8"?>
<ds:datastoreItem xmlns:ds="http://schemas.openxmlformats.org/officeDocument/2006/customXml" ds:itemID="{041AF126-78BA-4BE0-BD65-A7CA17E4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16B358-E2B5-4B4F-A415-BDCD27C18C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79E83A-E761-4FB7-8274-818C29736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398</Words>
  <Characters>2275</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Miruška Hrabčáková</cp:lastModifiedBy>
  <cp:revision>67</cp:revision>
  <cp:lastPrinted>2017-05-02T06:42:00Z</cp:lastPrinted>
  <dcterms:created xsi:type="dcterms:W3CDTF">2017-05-02T12:30:00Z</dcterms:created>
  <dcterms:modified xsi:type="dcterms:W3CDTF">2017-10-12T12:30:00Z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