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789E05B" w14:textId="6D9AEDF0" w:rsidR="00CA47A5" w:rsidRPr="00747A30" w:rsidRDefault="00B46655" w:rsidP="009F67DD">
      <w:pPr>
        <w:widowControl w:val="0"/>
        <w:autoSpaceDE w:val="0"/>
        <w:autoSpaceDN w:val="0"/>
        <w:adjustRightInd w:val="0"/>
        <w:ind w:right="-1"/>
        <w:rPr>
          <w:rFonts w:ascii="Verdana" w:hAnsi="Verdana" w:cs="Times New Roman"/>
          <w:color w:val="404040" w:themeColor="text1" w:themeTint="BF"/>
          <w:sz w:val="28"/>
          <w:szCs w:val="28"/>
          <w:lang w:val="sk-SK"/>
        </w:rPr>
      </w:pPr>
      <w:r w:rsidRPr="00747A30">
        <w:rPr>
          <w:rFonts w:ascii="Verdana" w:hAnsi="Verdana"/>
          <w:noProof/>
          <w:color w:val="404040" w:themeColor="text1" w:themeTint="BF"/>
          <w:sz w:val="36"/>
          <w:szCs w:val="36"/>
          <w:lang w:val="sk-SK" w:eastAsia="sk-SK"/>
        </w:rPr>
        <w:drawing>
          <wp:anchor distT="0" distB="0" distL="114300" distR="114300" simplePos="0" relativeHeight="251658240" behindDoc="1" locked="0" layoutInCell="1" allowOverlap="1" wp14:anchorId="1DFB063F" wp14:editId="6D4EF9C6">
            <wp:simplePos x="0" y="0"/>
            <wp:positionH relativeFrom="column">
              <wp:posOffset>-976630</wp:posOffset>
            </wp:positionH>
            <wp:positionV relativeFrom="paragraph">
              <wp:posOffset>-1005840</wp:posOffset>
            </wp:positionV>
            <wp:extent cx="7559040" cy="9715500"/>
            <wp:effectExtent l="0" t="0" r="3810" b="0"/>
            <wp:wrapNone/>
            <wp:docPr id="33" name="Obrázok 33" descr="C:\Users\weinbergerov2724518\Documents\OP EVS\templates\A4\A4_titulna strana_SK_new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einbergerov2724518\Documents\OP EVS\templates\A4\A4_titulna strana_SK_new.p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D8E" w:rsidRPr="00747A30">
        <w:rPr>
          <w:rFonts w:ascii="Verdana" w:hAnsi="Verdana"/>
          <w:color w:val="A6A6A6" w:themeColor="background1" w:themeShade="A6"/>
          <w:sz w:val="36"/>
          <w:szCs w:val="36"/>
          <w:lang w:val="sk-SK"/>
        </w:rPr>
        <w:t xml:space="preserve">    </w:t>
      </w:r>
    </w:p>
    <w:p w14:paraId="38A88953" w14:textId="0A0B4677" w:rsidR="00A85FC8" w:rsidRPr="00747A30" w:rsidRDefault="00A85FC8" w:rsidP="00A85FC8">
      <w:pPr>
        <w:spacing w:line="276" w:lineRule="auto"/>
        <w:rPr>
          <w:rFonts w:ascii="Verdana" w:hAnsi="Verdana"/>
          <w:sz w:val="18"/>
          <w:szCs w:val="18"/>
          <w:lang w:val="sk-SK"/>
        </w:rPr>
      </w:pPr>
      <w:bookmarkStart w:id="0" w:name="_Toc404872045"/>
      <w:bookmarkStart w:id="1" w:name="_Toc404872120"/>
    </w:p>
    <w:p w14:paraId="34A9191C" w14:textId="77777777" w:rsidR="00A85FC8" w:rsidRPr="00747A30" w:rsidRDefault="00A85FC8" w:rsidP="00A85FC8">
      <w:pPr>
        <w:spacing w:line="276" w:lineRule="auto"/>
        <w:ind w:firstLine="708"/>
        <w:rPr>
          <w:rFonts w:ascii="Verdana" w:hAnsi="Verdana"/>
          <w:sz w:val="18"/>
          <w:szCs w:val="18"/>
          <w:lang w:val="sk-SK"/>
        </w:rPr>
      </w:pPr>
    </w:p>
    <w:p w14:paraId="5635067C" w14:textId="77777777" w:rsidR="00A85FC8" w:rsidRPr="00747A30" w:rsidRDefault="00A85FC8" w:rsidP="00A85FC8">
      <w:pPr>
        <w:spacing w:line="276" w:lineRule="auto"/>
        <w:ind w:firstLine="708"/>
        <w:rPr>
          <w:rFonts w:ascii="Verdana" w:hAnsi="Verdana"/>
          <w:sz w:val="18"/>
          <w:szCs w:val="18"/>
          <w:lang w:val="sk-SK"/>
        </w:rPr>
      </w:pPr>
    </w:p>
    <w:p w14:paraId="4B46AF8B" w14:textId="77777777" w:rsidR="00A85FC8" w:rsidRPr="00747A30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71C941EF" w14:textId="77777777" w:rsidR="00A85FC8" w:rsidRPr="00747A30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50F350E1" w14:textId="77777777" w:rsidR="00A85FC8" w:rsidRPr="00747A30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172A6AD" w14:textId="77777777" w:rsidR="00A85FC8" w:rsidRPr="00747A30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4670F3A5" w14:textId="77777777" w:rsidR="00A85FC8" w:rsidRPr="00747A30" w:rsidRDefault="00A85FC8" w:rsidP="00A85FC8">
      <w:pPr>
        <w:ind w:left="2694" w:right="-1"/>
        <w:jc w:val="right"/>
        <w:rPr>
          <w:rFonts w:ascii="Verdana" w:hAnsi="Verdana"/>
          <w:color w:val="404040" w:themeColor="text1" w:themeTint="BF"/>
          <w:sz w:val="56"/>
          <w:szCs w:val="56"/>
          <w:lang w:val="sk-SK"/>
        </w:rPr>
      </w:pPr>
    </w:p>
    <w:p w14:paraId="35D7CFA1" w14:textId="77777777" w:rsidR="00A85FC8" w:rsidRPr="00747A30" w:rsidRDefault="00A85FC8" w:rsidP="00B46655">
      <w:pPr>
        <w:ind w:left="3600" w:right="-1"/>
        <w:rPr>
          <w:rFonts w:ascii="Verdana" w:hAnsi="Verdana" w:cs="Times New Roman"/>
          <w:color w:val="404040" w:themeColor="text1" w:themeTint="BF"/>
          <w:sz w:val="52"/>
          <w:szCs w:val="52"/>
          <w:lang w:val="sk-SK"/>
        </w:rPr>
      </w:pPr>
      <w:r w:rsidRPr="00747A30">
        <w:rPr>
          <w:rFonts w:ascii="Verdana" w:hAnsi="Verdana" w:cs="Times New Roman"/>
          <w:color w:val="404040" w:themeColor="text1" w:themeTint="BF"/>
          <w:sz w:val="52"/>
          <w:szCs w:val="52"/>
          <w:lang w:val="sk-SK"/>
        </w:rPr>
        <w:t>ZÁMER NÁRODNÉHO</w:t>
      </w:r>
      <w:r w:rsidRPr="00747A30">
        <w:rPr>
          <w:rFonts w:ascii="Verdana" w:hAnsi="Verdana" w:cs="Times New Roman"/>
          <w:color w:val="404040" w:themeColor="text1" w:themeTint="BF"/>
          <w:sz w:val="56"/>
          <w:szCs w:val="56"/>
          <w:lang w:val="sk-SK"/>
        </w:rPr>
        <w:t xml:space="preserve"> </w:t>
      </w:r>
      <w:r w:rsidRPr="00747A30">
        <w:rPr>
          <w:rFonts w:ascii="Verdana" w:hAnsi="Verdana" w:cs="Times New Roman"/>
          <w:color w:val="404040" w:themeColor="text1" w:themeTint="BF"/>
          <w:sz w:val="52"/>
          <w:szCs w:val="52"/>
          <w:lang w:val="sk-SK"/>
        </w:rPr>
        <w:t>PROJEKTU OP EVS</w:t>
      </w:r>
    </w:p>
    <w:p w14:paraId="334531E6" w14:textId="28305C94" w:rsidR="00A85FC8" w:rsidRPr="00747A30" w:rsidRDefault="00A85FC8" w:rsidP="00B46655">
      <w:pPr>
        <w:ind w:left="2880" w:right="-1" w:firstLine="720"/>
        <w:rPr>
          <w:rFonts w:ascii="Verdana" w:hAnsi="Verdana"/>
          <w:color w:val="A6A6A6" w:themeColor="background1" w:themeShade="A6"/>
          <w:sz w:val="36"/>
          <w:szCs w:val="36"/>
          <w:lang w:val="sk-SK"/>
        </w:rPr>
      </w:pPr>
      <w:r w:rsidRPr="00747A30">
        <w:rPr>
          <w:rFonts w:ascii="Verdana" w:hAnsi="Verdana" w:cs="Times New Roman"/>
          <w:color w:val="404040" w:themeColor="text1" w:themeTint="BF"/>
          <w:lang w:val="sk-SK"/>
        </w:rPr>
        <w:t>na programové obdobie 2014 – 2020</w:t>
      </w:r>
    </w:p>
    <w:p w14:paraId="08E75148" w14:textId="77777777" w:rsidR="00A85FC8" w:rsidRPr="00747A30" w:rsidRDefault="00A85FC8" w:rsidP="00A85FC8">
      <w:pPr>
        <w:ind w:left="2694" w:right="-1"/>
        <w:jc w:val="right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D25F99E" w14:textId="77777777" w:rsidR="00A85FC8" w:rsidRPr="00747A30" w:rsidRDefault="00A85FC8" w:rsidP="00A85FC8">
      <w:pPr>
        <w:ind w:left="2694" w:right="-1"/>
        <w:jc w:val="center"/>
        <w:rPr>
          <w:rFonts w:ascii="Verdana" w:hAnsi="Verdana"/>
          <w:color w:val="7F7F7F" w:themeColor="text1" w:themeTint="80"/>
          <w:sz w:val="56"/>
          <w:szCs w:val="56"/>
          <w:lang w:val="sk-SK"/>
        </w:rPr>
      </w:pP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 xml:space="preserve"> </w:t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747A30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  <w:t xml:space="preserve"> </w:t>
      </w:r>
    </w:p>
    <w:p w14:paraId="24E600A9" w14:textId="77777777" w:rsidR="00A85FC8" w:rsidRPr="00747A30" w:rsidRDefault="00A85FC8" w:rsidP="00A85FC8">
      <w:pPr>
        <w:ind w:right="-1"/>
        <w:jc w:val="center"/>
        <w:rPr>
          <w:rFonts w:ascii="Verdana" w:hAnsi="Verdana"/>
          <w:color w:val="404040" w:themeColor="text1" w:themeTint="BF"/>
          <w:sz w:val="52"/>
          <w:szCs w:val="52"/>
          <w:lang w:val="sk-SK"/>
        </w:rPr>
      </w:pPr>
    </w:p>
    <w:p w14:paraId="40984CC1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2DC56A45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098AB0F6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28B38351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09C18BE0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611FD4DC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1D35D683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35732A38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1E277CE3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6BEEE26F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4671B196" w14:textId="77777777" w:rsidR="00A85FC8" w:rsidRPr="00747A30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bookmarkEnd w:id="0"/>
    <w:bookmarkEnd w:id="1"/>
    <w:p w14:paraId="4B52E1D0" w14:textId="6DC6D15D" w:rsidR="00A85FC8" w:rsidRPr="00747A30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2CA9163C" w14:textId="77777777" w:rsidR="00A85FC8" w:rsidRPr="00747A30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01F6A381" w14:textId="77777777" w:rsidR="00A85FC8" w:rsidRPr="00747A30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013C9972" w14:textId="77777777" w:rsidR="00A85FC8" w:rsidRPr="00747A30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3E6F8AD0" w14:textId="77777777" w:rsidR="00A85FC8" w:rsidRPr="00747A30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395F6430" w14:textId="77777777" w:rsidR="00A85FC8" w:rsidRPr="00747A30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2F6649B1" w14:textId="77777777" w:rsidR="00B46655" w:rsidRPr="00747A30" w:rsidRDefault="00B46655" w:rsidP="00E24719">
      <w:pPr>
        <w:rPr>
          <w:b/>
          <w:lang w:val="sk-SK"/>
        </w:rPr>
      </w:pPr>
    </w:p>
    <w:p w14:paraId="0225D915" w14:textId="77777777" w:rsidR="00B46655" w:rsidRPr="00747A30" w:rsidRDefault="00B46655" w:rsidP="00E24719">
      <w:pPr>
        <w:rPr>
          <w:b/>
          <w:lang w:val="sk-SK"/>
        </w:rPr>
      </w:pPr>
    </w:p>
    <w:p w14:paraId="01059C93" w14:textId="77777777" w:rsidR="00B46655" w:rsidRPr="00747A30" w:rsidRDefault="00B46655" w:rsidP="00E24719">
      <w:pPr>
        <w:rPr>
          <w:b/>
          <w:lang w:val="sk-SK"/>
        </w:rPr>
      </w:pPr>
    </w:p>
    <w:p w14:paraId="4F5471BF" w14:textId="77777777" w:rsidR="00B46655" w:rsidRPr="00747A30" w:rsidRDefault="00B46655" w:rsidP="00E24719">
      <w:pPr>
        <w:rPr>
          <w:b/>
          <w:lang w:val="sk-SK"/>
        </w:rPr>
      </w:pPr>
    </w:p>
    <w:p w14:paraId="759C7BA7" w14:textId="77777777" w:rsidR="00B46655" w:rsidRPr="00747A30" w:rsidRDefault="00B46655" w:rsidP="00E24719">
      <w:pPr>
        <w:rPr>
          <w:b/>
          <w:lang w:val="sk-SK"/>
        </w:rPr>
      </w:pPr>
    </w:p>
    <w:p w14:paraId="45AA429C" w14:textId="77777777" w:rsidR="00B46655" w:rsidRPr="00747A30" w:rsidRDefault="00B46655" w:rsidP="00E24719">
      <w:pPr>
        <w:rPr>
          <w:b/>
          <w:lang w:val="sk-SK"/>
        </w:rPr>
      </w:pPr>
    </w:p>
    <w:p w14:paraId="4283D0B4" w14:textId="77777777" w:rsidR="000F75B1" w:rsidRDefault="00E24719" w:rsidP="00E24719">
      <w:pPr>
        <w:rPr>
          <w:b/>
          <w:lang w:val="sk-SK"/>
        </w:rPr>
      </w:pPr>
      <w:r w:rsidRPr="00747A30">
        <w:rPr>
          <w:b/>
          <w:lang w:val="sk-SK"/>
        </w:rPr>
        <w:lastRenderedPageBreak/>
        <w:t>Názov národného projektu:</w:t>
      </w:r>
      <w:r w:rsidR="00B16133" w:rsidRPr="00747A30">
        <w:rPr>
          <w:b/>
          <w:lang w:val="sk-SK"/>
        </w:rPr>
        <w:t xml:space="preserve"> </w:t>
      </w:r>
    </w:p>
    <w:p w14:paraId="021849F1" w14:textId="229D4664" w:rsidR="00E24719" w:rsidRPr="000F75B1" w:rsidRDefault="000F75B1" w:rsidP="00E24719">
      <w:pPr>
        <w:rPr>
          <w:rFonts w:ascii="Cambria" w:eastAsia="MS Mincho" w:hAnsi="Cambria" w:cs="Times New Roman"/>
          <w:lang w:val="sk-SK"/>
        </w:rPr>
      </w:pPr>
      <w:r>
        <w:rPr>
          <w:rFonts w:ascii="Cambria" w:eastAsia="MS Mincho" w:hAnsi="Cambria" w:cs="Times New Roman"/>
          <w:lang w:val="sk-SK"/>
        </w:rPr>
        <w:t xml:space="preserve">PODPORA NAJEXPONOVANEJŠÍCH ODBOROV OKRESNÝCH ÚRADOV ZA ÚČELOM ZEFEKTÍVNENIA POSKYTOVANÝCH PROKLIENTSKY ORIENTOVANÝCH SLUŽIEB. </w:t>
      </w:r>
      <w:bookmarkStart w:id="2" w:name="_GoBack"/>
      <w:bookmarkEnd w:id="2"/>
    </w:p>
    <w:p w14:paraId="78D962E9" w14:textId="77777777" w:rsidR="00E24719" w:rsidRPr="00747A30" w:rsidRDefault="00E24719" w:rsidP="00E24719">
      <w:pPr>
        <w:rPr>
          <w:lang w:val="sk-SK"/>
        </w:rPr>
      </w:pPr>
    </w:p>
    <w:p w14:paraId="46B485F9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 xml:space="preserve">Zdôvodnite čo najpodrobnejšie prečo nemôže byť projekt realizovaný prostredníctvom výzvy na predkladanie žiadostí o NFP? </w:t>
      </w:r>
    </w:p>
    <w:p w14:paraId="16847FA5" w14:textId="77777777" w:rsidR="00E24719" w:rsidRPr="00747A30" w:rsidRDefault="00E24719" w:rsidP="00E24719">
      <w:pPr>
        <w:ind w:left="284"/>
        <w:jc w:val="both"/>
        <w:rPr>
          <w:rFonts w:cs="Calibri"/>
          <w:i/>
          <w:lang w:val="sk-SK"/>
        </w:rPr>
      </w:pPr>
      <w:r w:rsidRPr="00747A30">
        <w:rPr>
          <w:rFonts w:cs="Calibri"/>
          <w:i/>
          <w:lang w:val="sk-SK"/>
        </w:rPr>
        <w:t>(napr. porovnanie s realizáciou prostredníctvom dopytovo orientovaného projektu vzhľadom na efektívnejší spôsob napĺňania cieľov OP, efektívnejšie a hospodárnejšie využitie finančných prostriedkov)</w:t>
      </w:r>
    </w:p>
    <w:p w14:paraId="3177E132" w14:textId="0BE14F66" w:rsidR="00377CE5" w:rsidRPr="00747A30" w:rsidRDefault="00377CE5" w:rsidP="00377CE5">
      <w:pPr>
        <w:pStyle w:val="Default"/>
        <w:jc w:val="both"/>
        <w:rPr>
          <w:rFonts w:cs="Times New Roman"/>
          <w:color w:val="auto"/>
        </w:rPr>
      </w:pPr>
      <w:r w:rsidRPr="00747A30">
        <w:rPr>
          <w:rFonts w:cs="Times New Roman"/>
          <w:color w:val="auto"/>
        </w:rPr>
        <w:t>Nakoľko je budovanie, monitoring efektívneho fungovania, optimalizácia klientskych pracovísk a poskytovanie služieb v klientskych pracoviskách v organizačnej pôsobnosti MV SR ako ústredného orgánu štátnej správy a jeho podriadenej sekcie verejnej správy (v zmysle</w:t>
      </w:r>
      <w:r w:rsidRPr="00747A30">
        <w:t xml:space="preserve"> zákona č. 575/2001 Z. z. o organizácii činnosti vlády a organizácii ústrednej štátnej správy v znení </w:t>
      </w:r>
      <w:proofErr w:type="spellStart"/>
      <w:r w:rsidRPr="00747A30">
        <w:t>nesk</w:t>
      </w:r>
      <w:proofErr w:type="spellEnd"/>
      <w:r w:rsidRPr="00747A30">
        <w:t>. predpisov</w:t>
      </w:r>
      <w:r w:rsidRPr="00747A30">
        <w:rPr>
          <w:rFonts w:cs="Times New Roman"/>
          <w:color w:val="auto"/>
        </w:rPr>
        <w:t xml:space="preserve">), nie je možné predmetný projekt realizovať prostredníctvom dopytovo orientovaných projektov. V tomto zmysle bude prebiehať podpora </w:t>
      </w:r>
      <w:r w:rsidR="00016B10" w:rsidRPr="00747A30">
        <w:rPr>
          <w:rFonts w:cs="Times New Roman"/>
          <w:color w:val="auto"/>
        </w:rPr>
        <w:t xml:space="preserve">zamestnancov </w:t>
      </w:r>
      <w:r w:rsidRPr="00747A30">
        <w:rPr>
          <w:rFonts w:cs="Times New Roman"/>
          <w:color w:val="auto"/>
        </w:rPr>
        <w:t xml:space="preserve">vybraných </w:t>
      </w:r>
      <w:r w:rsidR="00FB1D7F" w:rsidRPr="00747A30">
        <w:rPr>
          <w:rFonts w:cs="Times New Roman"/>
          <w:color w:val="auto"/>
        </w:rPr>
        <w:t xml:space="preserve">špecializovaných odborov </w:t>
      </w:r>
      <w:r w:rsidRPr="00747A30">
        <w:rPr>
          <w:rFonts w:cs="Times New Roman"/>
          <w:color w:val="auto"/>
        </w:rPr>
        <w:t xml:space="preserve">poskytujúcich </w:t>
      </w:r>
      <w:proofErr w:type="spellStart"/>
      <w:r w:rsidRPr="00747A30">
        <w:rPr>
          <w:rFonts w:cs="Times New Roman"/>
          <w:color w:val="auto"/>
        </w:rPr>
        <w:t>proklientsky</w:t>
      </w:r>
      <w:proofErr w:type="spellEnd"/>
      <w:r w:rsidRPr="00747A30">
        <w:rPr>
          <w:rFonts w:cs="Times New Roman"/>
          <w:color w:val="auto"/>
        </w:rPr>
        <w:t xml:space="preserve"> orientované služby,  ktorú je možné vykonávať len pod dohľadom a podľa metodických pravidiel Sekcie verejnej správy MVSR. </w:t>
      </w:r>
    </w:p>
    <w:p w14:paraId="5F07050B" w14:textId="4A547F4A" w:rsidR="00377CE5" w:rsidRPr="00747A30" w:rsidRDefault="00377CE5" w:rsidP="00377CE5">
      <w:pPr>
        <w:pStyle w:val="Odsekzoznamu"/>
        <w:ind w:left="0"/>
        <w:jc w:val="both"/>
        <w:rPr>
          <w:lang w:val="sk-SK"/>
        </w:rPr>
      </w:pPr>
      <w:r w:rsidRPr="00747A30">
        <w:rPr>
          <w:lang w:val="sk-SK"/>
        </w:rPr>
        <w:t xml:space="preserve">MV SR je jediným možným prijímateľom v zmysle zákona č. 575/2001 Z. z. o organizácii činnosti vlády a organizácii ústrednej štátnej správy v znení </w:t>
      </w:r>
      <w:proofErr w:type="spellStart"/>
      <w:r w:rsidRPr="00747A30">
        <w:rPr>
          <w:lang w:val="sk-SK"/>
        </w:rPr>
        <w:t>nesk</w:t>
      </w:r>
      <w:proofErr w:type="spellEnd"/>
      <w:r w:rsidRPr="00747A30">
        <w:rPr>
          <w:lang w:val="sk-SK"/>
        </w:rPr>
        <w:t>. predpisov (§ 11, písm. b).</w:t>
      </w:r>
    </w:p>
    <w:p w14:paraId="74219CC7" w14:textId="77777777" w:rsidR="00E24719" w:rsidRPr="00747A30" w:rsidRDefault="00E24719" w:rsidP="00E24719">
      <w:pPr>
        <w:rPr>
          <w:b/>
          <w:sz w:val="32"/>
          <w:szCs w:val="32"/>
          <w:lang w:val="sk-SK"/>
        </w:rPr>
      </w:pPr>
    </w:p>
    <w:p w14:paraId="48887534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rFonts w:eastAsia="Calibri"/>
          <w:bCs/>
          <w:iCs/>
          <w:lang w:val="sk-SK"/>
        </w:rPr>
        <w:t>Príslušnosť národného projektu k relevantnej časti operačného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747A30" w14:paraId="6FA77CD3" w14:textId="77777777" w:rsidTr="00AD549D">
        <w:tc>
          <w:tcPr>
            <w:tcW w:w="3823" w:type="dxa"/>
            <w:shd w:val="clear" w:color="auto" w:fill="CCC0D9"/>
          </w:tcPr>
          <w:p w14:paraId="36052FEC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Prioritná os</w:t>
            </w:r>
          </w:p>
        </w:tc>
        <w:tc>
          <w:tcPr>
            <w:tcW w:w="5239" w:type="dxa"/>
            <w:shd w:val="clear" w:color="auto" w:fill="auto"/>
          </w:tcPr>
          <w:p w14:paraId="000C3705" w14:textId="22E7C7EC" w:rsidR="00E24719" w:rsidRPr="00747A30" w:rsidRDefault="000A1D5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1 – Posilnené inštitucionálne kapacity a efektívna VS</w:t>
            </w:r>
          </w:p>
        </w:tc>
      </w:tr>
      <w:tr w:rsidR="00E24719" w:rsidRPr="00747A30" w14:paraId="4053AA9B" w14:textId="77777777" w:rsidTr="00AD549D">
        <w:tc>
          <w:tcPr>
            <w:tcW w:w="3823" w:type="dxa"/>
            <w:shd w:val="clear" w:color="auto" w:fill="CCC0D9"/>
          </w:tcPr>
          <w:p w14:paraId="076CABD5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Investičná priorita </w:t>
            </w:r>
          </w:p>
        </w:tc>
        <w:tc>
          <w:tcPr>
            <w:tcW w:w="5239" w:type="dxa"/>
            <w:shd w:val="clear" w:color="auto" w:fill="auto"/>
          </w:tcPr>
          <w:p w14:paraId="6F08D155" w14:textId="167D4223" w:rsidR="00E24719" w:rsidRPr="00747A30" w:rsidRDefault="000A1D5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Investície do inštitucionálnych kapacít a do efektívnosti VS a verejných služieb na národnej , regionálnej a miestnej úrovni v záujme reforiem lepšej právnej úpravy a dobrej správy</w:t>
            </w:r>
          </w:p>
        </w:tc>
      </w:tr>
      <w:tr w:rsidR="000A1D59" w:rsidRPr="00747A30" w14:paraId="13A1FB37" w14:textId="77777777" w:rsidTr="00AD549D">
        <w:tc>
          <w:tcPr>
            <w:tcW w:w="3823" w:type="dxa"/>
            <w:shd w:val="clear" w:color="auto" w:fill="CCC0D9"/>
          </w:tcPr>
          <w:p w14:paraId="64C4D88B" w14:textId="77777777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Špecifický cieľ</w:t>
            </w:r>
          </w:p>
        </w:tc>
        <w:tc>
          <w:tcPr>
            <w:tcW w:w="5239" w:type="dxa"/>
            <w:shd w:val="clear" w:color="auto" w:fill="auto"/>
          </w:tcPr>
          <w:p w14:paraId="5EE13A92" w14:textId="77777777" w:rsidR="000A1D59" w:rsidRPr="00747A30" w:rsidRDefault="000A1D59" w:rsidP="000A1D59">
            <w:pPr>
              <w:numPr>
                <w:ilvl w:val="1"/>
                <w:numId w:val="32"/>
              </w:numPr>
              <w:rPr>
                <w:lang w:val="sk-SK"/>
              </w:rPr>
            </w:pPr>
            <w:r w:rsidRPr="00747A30">
              <w:rPr>
                <w:lang w:val="sk-SK"/>
              </w:rPr>
              <w:t>Skvalitnené systémy a optimalizované procesy VS</w:t>
            </w:r>
          </w:p>
          <w:p w14:paraId="6EB43D56" w14:textId="2C33CE05" w:rsidR="000A1D59" w:rsidRPr="00747A30" w:rsidRDefault="007233B7" w:rsidP="000A1D59">
            <w:pPr>
              <w:rPr>
                <w:lang w:val="sk-SK"/>
              </w:rPr>
            </w:pPr>
            <w:r>
              <w:rPr>
                <w:lang w:val="sk-SK"/>
              </w:rPr>
              <w:t xml:space="preserve">1.2 </w:t>
            </w:r>
            <w:r w:rsidR="000A1D59" w:rsidRPr="00747A30">
              <w:rPr>
                <w:lang w:val="sk-SK"/>
              </w:rPr>
              <w:t>Modernizované RĽZ a zvýšené kompetencie zamestnancov</w:t>
            </w:r>
          </w:p>
        </w:tc>
      </w:tr>
      <w:tr w:rsidR="000A1D59" w:rsidRPr="00747A30" w14:paraId="63BCE514" w14:textId="77777777" w:rsidTr="00AD549D">
        <w:tc>
          <w:tcPr>
            <w:tcW w:w="3823" w:type="dxa"/>
            <w:shd w:val="clear" w:color="auto" w:fill="CCC0D9"/>
          </w:tcPr>
          <w:p w14:paraId="482F20E8" w14:textId="77777777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Miesto realizácie projektu (na úrovni kraja)</w:t>
            </w:r>
          </w:p>
        </w:tc>
        <w:tc>
          <w:tcPr>
            <w:tcW w:w="5239" w:type="dxa"/>
            <w:shd w:val="clear" w:color="auto" w:fill="auto"/>
          </w:tcPr>
          <w:p w14:paraId="530E3966" w14:textId="4286522D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Celé územie SR</w:t>
            </w:r>
          </w:p>
        </w:tc>
      </w:tr>
      <w:tr w:rsidR="000A1D59" w:rsidRPr="00747A30" w14:paraId="43BE7EC3" w14:textId="77777777" w:rsidTr="00AD549D">
        <w:tc>
          <w:tcPr>
            <w:tcW w:w="3823" w:type="dxa"/>
            <w:shd w:val="clear" w:color="auto" w:fill="CCC0D9"/>
          </w:tcPr>
          <w:p w14:paraId="60AD271A" w14:textId="77777777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Identifikácia hlavných cieľových skupín (ak relevantné)</w:t>
            </w:r>
          </w:p>
        </w:tc>
        <w:tc>
          <w:tcPr>
            <w:tcW w:w="5239" w:type="dxa"/>
            <w:shd w:val="clear" w:color="auto" w:fill="auto"/>
          </w:tcPr>
          <w:p w14:paraId="6DC1ED6E" w14:textId="6A08DFDC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Inštitúcie a subjekty VS a  zamestnanci verejnej správy;</w:t>
            </w:r>
          </w:p>
        </w:tc>
      </w:tr>
    </w:tbl>
    <w:p w14:paraId="7E11C498" w14:textId="77777777" w:rsidR="00E24719" w:rsidRPr="00747A30" w:rsidRDefault="00E24719" w:rsidP="00E24719">
      <w:pPr>
        <w:rPr>
          <w:lang w:val="sk-SK"/>
        </w:rPr>
      </w:pPr>
    </w:p>
    <w:p w14:paraId="0AAFFF8C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>Prijímateľ</w:t>
      </w:r>
      <w:r w:rsidRPr="00747A30">
        <w:rPr>
          <w:rStyle w:val="Odkaznapoznmkupodiarou"/>
          <w:lang w:val="sk-SK"/>
        </w:rPr>
        <w:footnoteReference w:id="2"/>
      </w:r>
      <w:r w:rsidRPr="00747A30">
        <w:rPr>
          <w:lang w:val="sk-SK"/>
        </w:rPr>
        <w:t xml:space="preserve"> národného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747A30" w14:paraId="63FF93A4" w14:textId="77777777" w:rsidTr="00AD549D">
        <w:tc>
          <w:tcPr>
            <w:tcW w:w="3823" w:type="dxa"/>
            <w:shd w:val="clear" w:color="auto" w:fill="CCC0D9"/>
          </w:tcPr>
          <w:p w14:paraId="1CEB48F2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Dôvod určenia prijímateľa národného projektu</w:t>
            </w:r>
            <w:r w:rsidRPr="00747A30">
              <w:rPr>
                <w:rStyle w:val="Odkaznapoznmkupodiarou"/>
                <w:lang w:val="sk-SK"/>
              </w:rPr>
              <w:footnoteReference w:id="3"/>
            </w:r>
            <w:r w:rsidRPr="00747A30">
              <w:rPr>
                <w:lang w:val="sk-SK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</w:tcPr>
          <w:p w14:paraId="095A3067" w14:textId="7DA8F2D2" w:rsidR="00E24719" w:rsidRPr="00747A30" w:rsidRDefault="000A1D5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MV SR, ako správca veľkého počtu agend a nositeľ zodpovednosti za poskytovanie verejných služieb s celoslovenskou pôsobnosťou </w:t>
            </w:r>
            <w:r w:rsidRPr="00747A30">
              <w:rPr>
                <w:lang w:val="sk-SK"/>
              </w:rPr>
              <w:lastRenderedPageBreak/>
              <w:t>si kladie za úlohu zefektívnenie fungovania systému siete klientskych pracovísk. Klientske pracoviská vznikajú s cieľom priblížiť verejné služby všetkým občanom a podnikateľom na celom území Slovenskej republiky. Klientske pracoviská sú  miesta prvého kontaktu integrovanej miestnej štátnej  správy a iných služieb verejnej správy, ktorých základným poslaním je priblíženie sa občanovi pri komplexnejšom vybavovaní agendy na jednom mieste a poskytovanie efektívnejších a praktickejších služieb, ktoré sú viac zamerané na potreby občanov a podnikateľom. S ohľadom na kompetenčný zákon je gestorom a teda aj budúcim prijímateľom pomoci je MV SR.</w:t>
            </w:r>
          </w:p>
        </w:tc>
      </w:tr>
      <w:tr w:rsidR="00E24719" w:rsidRPr="00747A30" w14:paraId="64A82419" w14:textId="77777777" w:rsidTr="00AD549D">
        <w:tc>
          <w:tcPr>
            <w:tcW w:w="3823" w:type="dxa"/>
            <w:shd w:val="clear" w:color="auto" w:fill="CCC0D9"/>
          </w:tcPr>
          <w:p w14:paraId="5ECFEB92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lastRenderedPageBreak/>
              <w:t xml:space="preserve">Má prijímateľ osobitné, jedinečné kompetencie na implementáciu aktivít národného projektu priamo </w:t>
            </w:r>
            <w:r w:rsidRPr="00747A30">
              <w:rPr>
                <w:lang w:val="sk-SK"/>
              </w:rPr>
              <w:br/>
              <w:t xml:space="preserve">zo zákona, osobitných právnych predpisov, resp. je uvedený priamo </w:t>
            </w:r>
            <w:r w:rsidRPr="00747A30">
              <w:rPr>
                <w:lang w:val="sk-SK"/>
              </w:rPr>
              <w:br/>
              <w:t xml:space="preserve">v príslušnom operačnom programe? </w:t>
            </w:r>
          </w:p>
        </w:tc>
        <w:tc>
          <w:tcPr>
            <w:tcW w:w="5239" w:type="dxa"/>
            <w:shd w:val="clear" w:color="auto" w:fill="auto"/>
          </w:tcPr>
          <w:p w14:paraId="698D1694" w14:textId="4AB85748" w:rsidR="00E24719" w:rsidRPr="00747A30" w:rsidRDefault="000A1D59" w:rsidP="00327275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Kompetencie Ministerstva vnútra SR vyplývajú z osobitných predpisov taxatívne vymedzených v § 11 písm. b) zákona č. 575/2001 Z. z. o organizácii činnosti vlády a organizácii ústrednej štátnej správy v znení </w:t>
            </w:r>
            <w:proofErr w:type="spellStart"/>
            <w:r w:rsidRPr="00747A30">
              <w:rPr>
                <w:lang w:val="sk-SK"/>
              </w:rPr>
              <w:t>nesk</w:t>
            </w:r>
            <w:proofErr w:type="spellEnd"/>
            <w:r w:rsidRPr="00747A30">
              <w:rPr>
                <w:lang w:val="sk-SK"/>
              </w:rPr>
              <w:t>. predpisov, podľa ktorého je MV SR ústredným orgánom štátnej správy pre všeobecnú vnútornú správu a prostredníctvom svojich úradov poskytuje služby odrážajúce rôzne životné situácie občanov a preto výraznou mierou zasahuje do fungovania verejnej správy.  Predmetný národný projekt plne reflektuje ciele Operačného programu Efektívna verejná správa.</w:t>
            </w:r>
          </w:p>
        </w:tc>
      </w:tr>
      <w:tr w:rsidR="00E24719" w:rsidRPr="00747A30" w14:paraId="32EAF228" w14:textId="77777777" w:rsidTr="00AD549D">
        <w:tc>
          <w:tcPr>
            <w:tcW w:w="3823" w:type="dxa"/>
            <w:shd w:val="clear" w:color="auto" w:fill="CCC0D9"/>
          </w:tcPr>
          <w:p w14:paraId="217DC859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Obchodné meno/názov (aj názov sekcie ak relevantné)</w:t>
            </w:r>
          </w:p>
        </w:tc>
        <w:tc>
          <w:tcPr>
            <w:tcW w:w="5239" w:type="dxa"/>
            <w:shd w:val="clear" w:color="auto" w:fill="auto"/>
          </w:tcPr>
          <w:p w14:paraId="717BBC12" w14:textId="4797D467" w:rsidR="00E24719" w:rsidRPr="00747A30" w:rsidRDefault="000A1D5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Ministerstvo vnútra Slovenskej republiky</w:t>
            </w:r>
          </w:p>
        </w:tc>
      </w:tr>
      <w:tr w:rsidR="000A1D59" w:rsidRPr="00747A30" w14:paraId="0E946D4A" w14:textId="77777777" w:rsidTr="00AD549D">
        <w:tc>
          <w:tcPr>
            <w:tcW w:w="3823" w:type="dxa"/>
            <w:shd w:val="clear" w:color="auto" w:fill="CCC0D9"/>
          </w:tcPr>
          <w:p w14:paraId="7A58A67E" w14:textId="77777777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Sídlo</w:t>
            </w:r>
          </w:p>
        </w:tc>
        <w:tc>
          <w:tcPr>
            <w:tcW w:w="5239" w:type="dxa"/>
            <w:shd w:val="clear" w:color="auto" w:fill="auto"/>
          </w:tcPr>
          <w:p w14:paraId="35F8384B" w14:textId="48803951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Pribinova 2, 812 72 Bratislava</w:t>
            </w:r>
          </w:p>
        </w:tc>
      </w:tr>
      <w:tr w:rsidR="000A1D59" w:rsidRPr="00747A30" w14:paraId="5DD7123D" w14:textId="77777777" w:rsidTr="00AD549D">
        <w:tc>
          <w:tcPr>
            <w:tcW w:w="3823" w:type="dxa"/>
            <w:shd w:val="clear" w:color="auto" w:fill="CCC0D9"/>
          </w:tcPr>
          <w:p w14:paraId="6F3173C4" w14:textId="77777777" w:rsidR="000A1D59" w:rsidRPr="00747A30" w:rsidRDefault="000A1D59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IČO</w:t>
            </w:r>
          </w:p>
        </w:tc>
        <w:tc>
          <w:tcPr>
            <w:tcW w:w="5239" w:type="dxa"/>
            <w:shd w:val="clear" w:color="auto" w:fill="auto"/>
          </w:tcPr>
          <w:p w14:paraId="573315C5" w14:textId="578F951A" w:rsidR="000A1D59" w:rsidRPr="00747A30" w:rsidRDefault="00A252B1" w:rsidP="000A1D59">
            <w:pPr>
              <w:rPr>
                <w:lang w:val="sk-SK"/>
              </w:rPr>
            </w:pPr>
            <w:r w:rsidRPr="00747A30">
              <w:rPr>
                <w:lang w:val="sk-SK"/>
              </w:rPr>
              <w:t>00151866</w:t>
            </w:r>
          </w:p>
        </w:tc>
      </w:tr>
    </w:tbl>
    <w:p w14:paraId="1EE388AD" w14:textId="77777777" w:rsidR="00E24719" w:rsidRPr="00747A30" w:rsidRDefault="00E24719" w:rsidP="00E24719">
      <w:pPr>
        <w:rPr>
          <w:lang w:val="sk-SK"/>
        </w:rPr>
      </w:pPr>
    </w:p>
    <w:p w14:paraId="19FF1883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 xml:space="preserve"> Partner, ktorý sa bude zúčastňovať realizácie národného projektu (ak relevantné)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A252B1" w:rsidRPr="00747A30" w14:paraId="1F75E905" w14:textId="77777777" w:rsidTr="00FB1D7F">
        <w:tc>
          <w:tcPr>
            <w:tcW w:w="3823" w:type="dxa"/>
            <w:shd w:val="clear" w:color="auto" w:fill="CCC0D9"/>
          </w:tcPr>
          <w:p w14:paraId="6A5C0DE3" w14:textId="77777777" w:rsidR="00A252B1" w:rsidRPr="00747A30" w:rsidRDefault="00A252B1" w:rsidP="00A252B1">
            <w:pPr>
              <w:rPr>
                <w:lang w:val="sk-SK"/>
              </w:rPr>
            </w:pPr>
            <w:r w:rsidRPr="00747A30">
              <w:rPr>
                <w:lang w:val="sk-SK"/>
              </w:rPr>
              <w:t>Zdôvodnenie potreby partnera národného projektu (ak relevantné)</w:t>
            </w:r>
            <w:r w:rsidRPr="00747A30">
              <w:rPr>
                <w:rStyle w:val="Odkaznapoznmkupodiarou"/>
                <w:lang w:val="sk-SK"/>
              </w:rPr>
              <w:footnoteReference w:id="4"/>
            </w:r>
          </w:p>
        </w:tc>
        <w:tc>
          <w:tcPr>
            <w:tcW w:w="523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88DB56C" w14:textId="77777777" w:rsidR="00A252B1" w:rsidRPr="00747A30" w:rsidRDefault="00A252B1" w:rsidP="00A252B1">
            <w:pPr>
              <w:rPr>
                <w:lang w:val="sk-SK"/>
              </w:rPr>
            </w:pPr>
          </w:p>
        </w:tc>
      </w:tr>
      <w:tr w:rsidR="00E24719" w:rsidRPr="00747A30" w14:paraId="3D1F69B7" w14:textId="77777777" w:rsidTr="00FB1D7F">
        <w:tc>
          <w:tcPr>
            <w:tcW w:w="3823" w:type="dxa"/>
            <w:shd w:val="clear" w:color="auto" w:fill="CCC0D9"/>
          </w:tcPr>
          <w:p w14:paraId="0979372B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Kritériá pre výber partnera </w:t>
            </w:r>
            <w:r w:rsidRPr="00747A30">
              <w:rPr>
                <w:rStyle w:val="Odkaznapoznmkupodiarou"/>
                <w:lang w:val="sk-SK"/>
              </w:rPr>
              <w:footnoteReference w:id="5"/>
            </w:r>
          </w:p>
        </w:tc>
        <w:tc>
          <w:tcPr>
            <w:tcW w:w="523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0A4611A4" w14:textId="77777777" w:rsidR="00E24719" w:rsidRPr="00747A30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22DC33F8" w14:textId="77777777" w:rsidTr="00FB1D7F">
        <w:tc>
          <w:tcPr>
            <w:tcW w:w="3823" w:type="dxa"/>
            <w:shd w:val="clear" w:color="auto" w:fill="CCC0D9"/>
          </w:tcPr>
          <w:p w14:paraId="7927609A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Má partner monopolné postavenie </w:t>
            </w:r>
            <w:r w:rsidRPr="00747A30">
              <w:rPr>
                <w:lang w:val="sk-SK"/>
              </w:rPr>
              <w:br/>
              <w:t xml:space="preserve">na implementáciu týchto aktivít? (áno/nie) Ak áno, na akom </w:t>
            </w:r>
            <w:r w:rsidRPr="00747A30">
              <w:rPr>
                <w:lang w:val="sk-SK"/>
              </w:rPr>
              <w:lastRenderedPageBreak/>
              <w:t>základe?</w:t>
            </w:r>
          </w:p>
        </w:tc>
        <w:tc>
          <w:tcPr>
            <w:tcW w:w="523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6B1ECF4" w14:textId="77777777" w:rsidR="00E24719" w:rsidRPr="00747A30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3DD9E28B" w14:textId="77777777" w:rsidTr="00FB1D7F">
        <w:tc>
          <w:tcPr>
            <w:tcW w:w="3823" w:type="dxa"/>
            <w:shd w:val="clear" w:color="auto" w:fill="CCC0D9"/>
          </w:tcPr>
          <w:p w14:paraId="74C27726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lastRenderedPageBreak/>
              <w:t>Obchodné meno/názov</w:t>
            </w:r>
          </w:p>
        </w:tc>
        <w:tc>
          <w:tcPr>
            <w:tcW w:w="523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361E6A3" w14:textId="77777777" w:rsidR="00E24719" w:rsidRPr="00747A30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4E13B972" w14:textId="77777777" w:rsidTr="00FB1D7F">
        <w:tc>
          <w:tcPr>
            <w:tcW w:w="3823" w:type="dxa"/>
            <w:shd w:val="clear" w:color="auto" w:fill="CCC0D9"/>
          </w:tcPr>
          <w:p w14:paraId="6AD4B47A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Sídlo</w:t>
            </w:r>
          </w:p>
        </w:tc>
        <w:tc>
          <w:tcPr>
            <w:tcW w:w="523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D1C9F2F" w14:textId="77777777" w:rsidR="00E24719" w:rsidRPr="00747A30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07A40C83" w14:textId="77777777" w:rsidTr="00FB1D7F">
        <w:tc>
          <w:tcPr>
            <w:tcW w:w="3823" w:type="dxa"/>
            <w:shd w:val="clear" w:color="auto" w:fill="CCC0D9"/>
          </w:tcPr>
          <w:p w14:paraId="65BE2F7E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IČO</w:t>
            </w:r>
          </w:p>
        </w:tc>
        <w:tc>
          <w:tcPr>
            <w:tcW w:w="5239" w:type="dxa"/>
            <w:tcBorders>
              <w:tr2bl w:val="single" w:sz="4" w:space="0" w:color="auto"/>
            </w:tcBorders>
            <w:shd w:val="clear" w:color="auto" w:fill="auto"/>
          </w:tcPr>
          <w:p w14:paraId="4C30CFE3" w14:textId="77777777" w:rsidR="00E24719" w:rsidRPr="00747A30" w:rsidRDefault="00E24719" w:rsidP="00AD549D">
            <w:pPr>
              <w:rPr>
                <w:lang w:val="sk-SK"/>
              </w:rPr>
            </w:pPr>
          </w:p>
        </w:tc>
      </w:tr>
    </w:tbl>
    <w:p w14:paraId="3B80B749" w14:textId="77777777" w:rsidR="00E24719" w:rsidRPr="00747A30" w:rsidRDefault="00E24719" w:rsidP="00E24719">
      <w:pPr>
        <w:rPr>
          <w:lang w:val="sk-SK"/>
        </w:rPr>
      </w:pPr>
      <w:r w:rsidRPr="00747A30">
        <w:rPr>
          <w:i/>
          <w:lang w:val="sk-SK"/>
        </w:rPr>
        <w:t>V prípade viacerých partnerov, doplňte údaje za každého partnera.</w:t>
      </w:r>
    </w:p>
    <w:p w14:paraId="5404401D" w14:textId="77777777" w:rsidR="00E24719" w:rsidRPr="00747A30" w:rsidRDefault="00E24719" w:rsidP="00E24719">
      <w:pPr>
        <w:rPr>
          <w:lang w:val="sk-SK"/>
        </w:rPr>
      </w:pPr>
    </w:p>
    <w:p w14:paraId="421C7526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 xml:space="preserve"> Predpokladaný časový rámec</w:t>
      </w:r>
    </w:p>
    <w:p w14:paraId="58C6F9C3" w14:textId="77777777" w:rsidR="00E24719" w:rsidRPr="00747A30" w:rsidRDefault="00E24719" w:rsidP="00E24719">
      <w:pPr>
        <w:pStyle w:val="Odsekzoznamu"/>
        <w:ind w:left="360"/>
        <w:jc w:val="both"/>
        <w:rPr>
          <w:lang w:val="sk-SK"/>
        </w:rPr>
      </w:pPr>
      <w:r w:rsidRPr="00747A30">
        <w:rPr>
          <w:lang w:val="sk-SK"/>
        </w:rPr>
        <w:t xml:space="preserve">Dátumy v tabuľke nižšie nie sú záväzné, ale predstavujú vhodný a žiadúci časový rámec </w:t>
      </w:r>
      <w:r w:rsidRPr="00747A30">
        <w:rPr>
          <w:lang w:val="sk-SK"/>
        </w:rPr>
        <w:br/>
        <w:t xml:space="preserve">pre zabezpečenie procesov, vedúcich k realizácii národného projektu.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747A30" w14:paraId="7CD16FB9" w14:textId="77777777" w:rsidTr="00AD549D">
        <w:tc>
          <w:tcPr>
            <w:tcW w:w="3823" w:type="dxa"/>
            <w:shd w:val="clear" w:color="auto" w:fill="CCC0D9"/>
          </w:tcPr>
          <w:p w14:paraId="64688834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Dátum vyhlásenia vyzvania vo formáte Mesiac/Rok</w:t>
            </w:r>
          </w:p>
        </w:tc>
        <w:tc>
          <w:tcPr>
            <w:tcW w:w="5239" w:type="dxa"/>
            <w:shd w:val="clear" w:color="auto" w:fill="auto"/>
          </w:tcPr>
          <w:p w14:paraId="193E0EFB" w14:textId="31204B4C" w:rsidR="00E24719" w:rsidRPr="00747A30" w:rsidRDefault="00921E3C">
            <w:pPr>
              <w:rPr>
                <w:lang w:val="sk-SK"/>
              </w:rPr>
            </w:pPr>
            <w:r>
              <w:rPr>
                <w:lang w:val="sk-SK"/>
              </w:rPr>
              <w:t>01</w:t>
            </w:r>
            <w:r w:rsidR="00A252B1" w:rsidRPr="00747A30">
              <w:rPr>
                <w:lang w:val="sk-SK"/>
              </w:rPr>
              <w:t>/</w:t>
            </w:r>
            <w:r w:rsidRPr="00747A30">
              <w:rPr>
                <w:lang w:val="sk-SK"/>
              </w:rPr>
              <w:t>202</w:t>
            </w:r>
            <w:r>
              <w:rPr>
                <w:lang w:val="sk-SK"/>
              </w:rPr>
              <w:t>2</w:t>
            </w:r>
          </w:p>
        </w:tc>
      </w:tr>
      <w:tr w:rsidR="00E24719" w:rsidRPr="00747A30" w14:paraId="76D80D4E" w14:textId="77777777" w:rsidTr="00AD549D">
        <w:tc>
          <w:tcPr>
            <w:tcW w:w="3823" w:type="dxa"/>
            <w:shd w:val="clear" w:color="auto" w:fill="CCC0D9"/>
          </w:tcPr>
          <w:p w14:paraId="09B8036C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Uveďte plánovaný štvrťrok podpísania zmluvy o NFP s prijímateľom </w:t>
            </w:r>
          </w:p>
        </w:tc>
        <w:tc>
          <w:tcPr>
            <w:tcW w:w="5239" w:type="dxa"/>
            <w:shd w:val="clear" w:color="auto" w:fill="auto"/>
          </w:tcPr>
          <w:p w14:paraId="7367F968" w14:textId="4BB7EC30" w:rsidR="00E24719" w:rsidRPr="00747A30" w:rsidRDefault="00A252B1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1Q/2022</w:t>
            </w:r>
          </w:p>
        </w:tc>
      </w:tr>
      <w:tr w:rsidR="00E24719" w:rsidRPr="00747A30" w14:paraId="117BBC77" w14:textId="77777777" w:rsidTr="00AD549D">
        <w:tc>
          <w:tcPr>
            <w:tcW w:w="3823" w:type="dxa"/>
            <w:shd w:val="clear" w:color="auto" w:fill="CCC0D9"/>
          </w:tcPr>
          <w:p w14:paraId="5983535C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Uveďte plánovaný štvrťrok  spustenia realizácie projektu </w:t>
            </w:r>
          </w:p>
        </w:tc>
        <w:tc>
          <w:tcPr>
            <w:tcW w:w="5239" w:type="dxa"/>
            <w:shd w:val="clear" w:color="auto" w:fill="auto"/>
          </w:tcPr>
          <w:p w14:paraId="1E21CB2A" w14:textId="21AC9AEE" w:rsidR="00E24719" w:rsidRPr="00747A30" w:rsidRDefault="00A252B1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1Q/2022</w:t>
            </w:r>
          </w:p>
        </w:tc>
      </w:tr>
      <w:tr w:rsidR="00E24719" w:rsidRPr="00747A30" w14:paraId="53B57CD3" w14:textId="77777777" w:rsidTr="00AD549D">
        <w:tc>
          <w:tcPr>
            <w:tcW w:w="3823" w:type="dxa"/>
            <w:shd w:val="clear" w:color="auto" w:fill="CCC0D9"/>
          </w:tcPr>
          <w:p w14:paraId="52F9C92B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Predpokladaná doba realizácie projektu v mesiacoch </w:t>
            </w:r>
          </w:p>
        </w:tc>
        <w:tc>
          <w:tcPr>
            <w:tcW w:w="5239" w:type="dxa"/>
            <w:shd w:val="clear" w:color="auto" w:fill="auto"/>
          </w:tcPr>
          <w:p w14:paraId="53A74957" w14:textId="1745E363" w:rsidR="00E24719" w:rsidRPr="00747A30" w:rsidRDefault="00A252B1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24 mesiacov</w:t>
            </w:r>
          </w:p>
        </w:tc>
      </w:tr>
    </w:tbl>
    <w:p w14:paraId="74828BE8" w14:textId="77777777" w:rsidR="00E24719" w:rsidRPr="00747A30" w:rsidRDefault="00E24719" w:rsidP="00E24719">
      <w:pPr>
        <w:rPr>
          <w:lang w:val="sk-SK"/>
        </w:rPr>
      </w:pPr>
    </w:p>
    <w:p w14:paraId="4F3E3AA4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>Finančný rámec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747A30" w14:paraId="5F6ADEFC" w14:textId="77777777" w:rsidTr="00AD549D">
        <w:tc>
          <w:tcPr>
            <w:tcW w:w="3823" w:type="dxa"/>
            <w:shd w:val="clear" w:color="auto" w:fill="CCC0D9"/>
          </w:tcPr>
          <w:p w14:paraId="215C8D0E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Alokácia na vyzvanie (zdroj EÚ a ŠR)</w:t>
            </w:r>
          </w:p>
        </w:tc>
        <w:tc>
          <w:tcPr>
            <w:tcW w:w="5239" w:type="dxa"/>
            <w:shd w:val="clear" w:color="auto" w:fill="auto"/>
          </w:tcPr>
          <w:p w14:paraId="769C2601" w14:textId="1FD8CCD0" w:rsidR="00E24719" w:rsidRPr="00D32C71" w:rsidRDefault="00921E3C" w:rsidP="00392FA8">
            <w:pPr>
              <w:rPr>
                <w:lang w:val="sk-SK"/>
              </w:rPr>
            </w:pPr>
            <w:r w:rsidRPr="00D32C71">
              <w:rPr>
                <w:lang w:val="sk-SK"/>
              </w:rPr>
              <w:t>49 </w:t>
            </w:r>
            <w:r w:rsidR="00392FA8" w:rsidRPr="00D32C71">
              <w:rPr>
                <w:lang w:val="sk-SK"/>
              </w:rPr>
              <w:t>0</w:t>
            </w:r>
            <w:r w:rsidRPr="00D32C71">
              <w:rPr>
                <w:lang w:val="sk-SK"/>
              </w:rPr>
              <w:t xml:space="preserve">00 </w:t>
            </w:r>
            <w:r w:rsidR="000A4522" w:rsidRPr="00D32C71">
              <w:rPr>
                <w:lang w:val="sk-SK"/>
              </w:rPr>
              <w:t>000</w:t>
            </w:r>
            <w:r w:rsidR="00A252B1" w:rsidRPr="00D32C71">
              <w:rPr>
                <w:lang w:val="sk-SK"/>
              </w:rPr>
              <w:t>,- EUR</w:t>
            </w:r>
          </w:p>
        </w:tc>
      </w:tr>
      <w:tr w:rsidR="00E24719" w:rsidRPr="00747A30" w14:paraId="5A4479ED" w14:textId="77777777" w:rsidTr="00AD549D">
        <w:tc>
          <w:tcPr>
            <w:tcW w:w="3823" w:type="dxa"/>
            <w:shd w:val="clear" w:color="auto" w:fill="CCC0D9"/>
          </w:tcPr>
          <w:p w14:paraId="21F955AC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Celkové oprávnené výdavky projektu</w:t>
            </w:r>
          </w:p>
        </w:tc>
        <w:tc>
          <w:tcPr>
            <w:tcW w:w="5239" w:type="dxa"/>
            <w:shd w:val="clear" w:color="auto" w:fill="auto"/>
          </w:tcPr>
          <w:p w14:paraId="75585F14" w14:textId="5B36030E" w:rsidR="00E24719" w:rsidRPr="00D32C71" w:rsidRDefault="00921E3C" w:rsidP="00392FA8">
            <w:pPr>
              <w:rPr>
                <w:lang w:val="sk-SK"/>
              </w:rPr>
            </w:pPr>
            <w:r w:rsidRPr="00D32C71">
              <w:rPr>
                <w:lang w:val="sk-SK"/>
              </w:rPr>
              <w:t>49 </w:t>
            </w:r>
            <w:r w:rsidR="00392FA8" w:rsidRPr="00D32C71">
              <w:rPr>
                <w:lang w:val="sk-SK"/>
              </w:rPr>
              <w:t>0</w:t>
            </w:r>
            <w:r w:rsidRPr="00D32C71">
              <w:rPr>
                <w:lang w:val="sk-SK"/>
              </w:rPr>
              <w:t xml:space="preserve">00 </w:t>
            </w:r>
            <w:r w:rsidR="000A4522" w:rsidRPr="00D32C71">
              <w:rPr>
                <w:lang w:val="sk-SK"/>
              </w:rPr>
              <w:t>000</w:t>
            </w:r>
            <w:r w:rsidR="00A252B1" w:rsidRPr="00D32C71">
              <w:rPr>
                <w:lang w:val="sk-SK"/>
              </w:rPr>
              <w:t>,- EUR</w:t>
            </w:r>
          </w:p>
        </w:tc>
      </w:tr>
      <w:tr w:rsidR="00E24719" w:rsidRPr="00747A30" w14:paraId="3EA43AB8" w14:textId="77777777" w:rsidTr="00AD549D">
        <w:tc>
          <w:tcPr>
            <w:tcW w:w="3823" w:type="dxa"/>
            <w:shd w:val="clear" w:color="auto" w:fill="CCC0D9"/>
          </w:tcPr>
          <w:p w14:paraId="10065616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Vlastné zdroje prijímateľa</w:t>
            </w:r>
          </w:p>
        </w:tc>
        <w:tc>
          <w:tcPr>
            <w:tcW w:w="5239" w:type="dxa"/>
            <w:shd w:val="clear" w:color="auto" w:fill="auto"/>
          </w:tcPr>
          <w:p w14:paraId="5E214D6D" w14:textId="4504CB12" w:rsidR="00E24719" w:rsidRPr="00747A30" w:rsidRDefault="00A252B1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N/A</w:t>
            </w:r>
          </w:p>
        </w:tc>
      </w:tr>
    </w:tbl>
    <w:p w14:paraId="3D6D82CE" w14:textId="77777777" w:rsidR="00E24719" w:rsidRPr="00747A30" w:rsidRDefault="00E24719" w:rsidP="00E24719">
      <w:pPr>
        <w:ind w:left="284" w:firstLine="16"/>
        <w:rPr>
          <w:i/>
          <w:lang w:val="sk-SK"/>
        </w:rPr>
      </w:pPr>
    </w:p>
    <w:p w14:paraId="2D3FEA22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>Východiskový stav</w:t>
      </w:r>
    </w:p>
    <w:p w14:paraId="0805F744" w14:textId="46B5DCAA" w:rsidR="00E24719" w:rsidRPr="00747A30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747A30">
        <w:rPr>
          <w:lang w:val="sk-SK"/>
        </w:rPr>
        <w:t xml:space="preserve">Uveďte východiskové dokumenty na regionálnej, národnej a európskej úrovni, ktoré priamo súvisia s realizáciou NP: </w:t>
      </w:r>
    </w:p>
    <w:p w14:paraId="3328B61E" w14:textId="77777777" w:rsidR="000E45F4" w:rsidRPr="00747A30" w:rsidRDefault="000E45F4" w:rsidP="000E45F4">
      <w:pPr>
        <w:pStyle w:val="Zkladntext0"/>
        <w:numPr>
          <w:ilvl w:val="0"/>
          <w:numId w:val="33"/>
        </w:numPr>
        <w:spacing w:before="60" w:after="60"/>
        <w:ind w:left="284" w:hanging="284"/>
        <w:rPr>
          <w:rFonts w:ascii="Cambria" w:eastAsia="MS Mincho" w:hAnsi="Cambria"/>
          <w:sz w:val="24"/>
        </w:rPr>
      </w:pPr>
      <w:r w:rsidRPr="00747A30">
        <w:rPr>
          <w:rFonts w:ascii="Cambria" w:eastAsia="MS Mincho" w:hAnsi="Cambria"/>
          <w:sz w:val="24"/>
        </w:rPr>
        <w:t>Zákon č. 345/2012 Z. z. o niektorých opatreniach v miestnej štátnej správe a o zmene a doplnení niektorých zákonov,</w:t>
      </w:r>
    </w:p>
    <w:p w14:paraId="3BDF7E9B" w14:textId="77777777" w:rsidR="000E45F4" w:rsidRPr="00747A30" w:rsidRDefault="000E45F4" w:rsidP="000E45F4">
      <w:pPr>
        <w:pStyle w:val="Zkladntext0"/>
        <w:numPr>
          <w:ilvl w:val="0"/>
          <w:numId w:val="33"/>
        </w:numPr>
        <w:spacing w:before="60" w:after="60"/>
        <w:ind w:left="284" w:hanging="284"/>
        <w:rPr>
          <w:rFonts w:ascii="Cambria" w:eastAsia="MS Mincho" w:hAnsi="Cambria"/>
          <w:sz w:val="24"/>
        </w:rPr>
      </w:pPr>
      <w:r w:rsidRPr="00747A30">
        <w:rPr>
          <w:rFonts w:ascii="Cambria" w:eastAsia="MS Mincho" w:hAnsi="Cambria"/>
          <w:sz w:val="24"/>
        </w:rPr>
        <w:t>Zákon č. 180/2013 Z. z. o organizácii miestnej štátnej správy a o zmene a doplnení niektorých zákonov v znení neskorších predpisov,</w:t>
      </w:r>
    </w:p>
    <w:p w14:paraId="0808D4C2" w14:textId="77777777" w:rsidR="000E45F4" w:rsidRPr="00747A30" w:rsidRDefault="000E45F4" w:rsidP="000E45F4">
      <w:pPr>
        <w:pStyle w:val="Zkladntext0"/>
        <w:numPr>
          <w:ilvl w:val="0"/>
          <w:numId w:val="33"/>
        </w:numPr>
        <w:spacing w:before="60" w:after="60"/>
        <w:ind w:left="284" w:hanging="284"/>
        <w:rPr>
          <w:rFonts w:ascii="Cambria" w:eastAsia="MS Mincho" w:hAnsi="Cambria"/>
          <w:sz w:val="24"/>
        </w:rPr>
      </w:pPr>
      <w:r w:rsidRPr="00747A30">
        <w:rPr>
          <w:rFonts w:ascii="Cambria" w:eastAsia="MS Mincho" w:hAnsi="Cambria"/>
          <w:sz w:val="24"/>
        </w:rPr>
        <w:t>Špecifické odporúčania Rady pre Slovenskú republiku na rok 2016</w:t>
      </w:r>
    </w:p>
    <w:p w14:paraId="55D6BEC9" w14:textId="77777777" w:rsidR="000E45F4" w:rsidRPr="00747A30" w:rsidRDefault="000E45F4" w:rsidP="000E45F4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r w:rsidRPr="00747A30">
        <w:rPr>
          <w:lang w:val="sk-SK"/>
        </w:rPr>
        <w:t>Program ESO (efektívna, spoľahlivá a otvorená štátna správa)</w:t>
      </w:r>
    </w:p>
    <w:p w14:paraId="2A621A95" w14:textId="77777777" w:rsidR="000E45F4" w:rsidRPr="00747A30" w:rsidRDefault="000E45F4" w:rsidP="000E45F4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r w:rsidRPr="00747A30">
        <w:rPr>
          <w:lang w:val="sk-SK"/>
        </w:rPr>
        <w:t>Rozpracovanie a dopracovanie Programu ESO</w:t>
      </w:r>
    </w:p>
    <w:p w14:paraId="10A29FBF" w14:textId="4A932A0F" w:rsidR="000E45F4" w:rsidRPr="00747A30" w:rsidRDefault="000E45F4" w:rsidP="000E45F4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r w:rsidRPr="00747A30">
        <w:rPr>
          <w:lang w:val="sk-SK"/>
        </w:rPr>
        <w:t>Rámec národnej stratégie reformy VS v súvislosti s prioritami definovanými Európskou komisiou na roky 2014-2020</w:t>
      </w:r>
    </w:p>
    <w:p w14:paraId="3847E700" w14:textId="77777777" w:rsidR="000E45F4" w:rsidRPr="00747A30" w:rsidRDefault="000E45F4" w:rsidP="000E45F4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747A30">
        <w:rPr>
          <w:lang w:val="sk-SK"/>
        </w:rPr>
        <w:t>Medzinárodná úroveň: cezhraničné a európske strategické dokumenty, napr. Spoločný strategický rámec EK, Materiály Európskej komisie k programovému obdobiu 2014 – 2020 a politiky súdržnosti a pod.</w:t>
      </w:r>
    </w:p>
    <w:p w14:paraId="7B858E2C" w14:textId="77777777" w:rsidR="004B363B" w:rsidRDefault="000E45F4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747A30">
        <w:rPr>
          <w:lang w:val="sk-SK"/>
        </w:rPr>
        <w:t xml:space="preserve">Nariadenie vlády SR č. 221/1999 Z. z. </w:t>
      </w:r>
    </w:p>
    <w:p w14:paraId="20894B1A" w14:textId="0B868D93" w:rsidR="005B6096" w:rsidRPr="00C564D6" w:rsidRDefault="004B363B" w:rsidP="00C564D6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C564D6">
        <w:rPr>
          <w:lang w:val="sk-SK"/>
        </w:rPr>
        <w:t>Z</w:t>
      </w:r>
      <w:r w:rsidR="00D36809" w:rsidRPr="00C564D6">
        <w:rPr>
          <w:lang w:val="sk-SK"/>
        </w:rPr>
        <w:t xml:space="preserve">ákon č. 330/1991 Zb. o pozemkových úpravách, usporiadaní pozemkového vlastníctva, pozemkových úradoch, pozemkovom fonde a o pozemkových spoločenstvách v znení neskorších predpisov, na základe ktorej môžu obce s účinnosťou od 01.09.2017 vysporiadať vlastníctvo k pozemkom v RO postupom </w:t>
      </w:r>
      <w:r w:rsidR="00D36809" w:rsidRPr="00C564D6">
        <w:rPr>
          <w:lang w:val="sk-SK"/>
        </w:rPr>
        <w:lastRenderedPageBreak/>
        <w:t>jednoduchých pozemkových úprav podľa ustanovenia §8g Zákona č. 330/1991 Zb., v zmysle ktorého môžu byť prevedené jednoduché pozemkové úpravy vykonávané na usporiadanie vlastníckych a užívacích pomerov k pozemkom pod RO.</w:t>
      </w:r>
    </w:p>
    <w:p w14:paraId="69175033" w14:textId="1D2A8D0D" w:rsidR="005B6096" w:rsidRPr="00C564D6" w:rsidRDefault="005B6096" w:rsidP="008E4B77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C564D6">
        <w:rPr>
          <w:lang w:val="sk-SK"/>
        </w:rPr>
        <w:t>Zákon č. 40/1964 Zb. Občiansky zákonník v znení neskorších predpisov</w:t>
      </w:r>
      <w:r w:rsidR="004B363B" w:rsidRPr="00C564D6">
        <w:rPr>
          <w:lang w:val="sk-SK"/>
        </w:rPr>
        <w:t>.</w:t>
      </w:r>
    </w:p>
    <w:p w14:paraId="0020BF86" w14:textId="1450E468" w:rsidR="001701EE" w:rsidRPr="00C564D6" w:rsidRDefault="005B6096" w:rsidP="00C564D6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C564D6">
        <w:rPr>
          <w:lang w:val="sk-SK"/>
        </w:rPr>
        <w:t>Zákon č. 50/1976 Zb. o územnom plánovaní a stavebnom poriadku (Stavebný zákon) v znení neskorších predpisov</w:t>
      </w:r>
      <w:r w:rsidR="004B363B" w:rsidRPr="00C564D6">
        <w:rPr>
          <w:lang w:val="sk-SK"/>
        </w:rPr>
        <w:t>.</w:t>
      </w:r>
    </w:p>
    <w:p w14:paraId="3FE75865" w14:textId="43F1E9B0" w:rsidR="001701EE" w:rsidRPr="00C564D6" w:rsidRDefault="005B6096" w:rsidP="008E4B77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C564D6">
        <w:rPr>
          <w:lang w:val="sk-SK"/>
        </w:rPr>
        <w:t>V</w:t>
      </w:r>
      <w:r w:rsidR="001701EE" w:rsidRPr="00C564D6">
        <w:rPr>
          <w:lang w:val="sk-SK"/>
        </w:rPr>
        <w:t>yhláška Ministerstva spravodlivosti Slovenskej republiky č. 492/2004 Z. z. o stanovení všeobecnej hodnoty majetku v znení neskorších predpisov, účinnej od 01.09.2017, na základe ktorej došlo k úprave koeficientu pre pozemky pod RO marginalizovaných skupín obyvateľstva tak, aby sa hodnota takýchto pozemkov</w:t>
      </w:r>
      <w:r w:rsidR="008E4B77" w:rsidRPr="00C564D6">
        <w:rPr>
          <w:lang w:val="sk-SK"/>
        </w:rPr>
        <w:t xml:space="preserve"> </w:t>
      </w:r>
      <w:r w:rsidR="001701EE" w:rsidRPr="00C564D6">
        <w:rPr>
          <w:lang w:val="sk-SK"/>
        </w:rPr>
        <w:t>pre účely vyrovnania v peniazoch priblížila k hodnote poľnohospodárskeho pozemku.</w:t>
      </w:r>
    </w:p>
    <w:p w14:paraId="3577F7BA" w14:textId="329EE200" w:rsidR="005B6096" w:rsidRPr="00C564D6" w:rsidRDefault="005B6096" w:rsidP="008E4B77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C564D6">
        <w:rPr>
          <w:lang w:val="sk-SK"/>
        </w:rPr>
        <w:t>Atlas rómskych komunít 201</w:t>
      </w:r>
      <w:r w:rsidR="00921E3C" w:rsidRPr="00C564D6">
        <w:rPr>
          <w:lang w:val="sk-SK"/>
        </w:rPr>
        <w:t>9</w:t>
      </w:r>
      <w:r w:rsidR="004B363B" w:rsidRPr="00C564D6">
        <w:rPr>
          <w:lang w:val="sk-SK"/>
        </w:rPr>
        <w:t>.</w:t>
      </w:r>
    </w:p>
    <w:p w14:paraId="5FE49E8F" w14:textId="77777777" w:rsidR="005B6096" w:rsidRPr="00747A30" w:rsidRDefault="005B6096" w:rsidP="00FB1D7F">
      <w:pPr>
        <w:pStyle w:val="Odsekzoznamu"/>
        <w:ind w:left="567"/>
        <w:jc w:val="both"/>
        <w:rPr>
          <w:lang w:val="sk-SK"/>
        </w:rPr>
      </w:pPr>
    </w:p>
    <w:p w14:paraId="67EBA82B" w14:textId="6731A90E" w:rsidR="00E24719" w:rsidRPr="00747A30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747A30">
        <w:rPr>
          <w:lang w:val="sk-SK"/>
        </w:rPr>
        <w:t xml:space="preserve">Uveďte predchádzajúce výstupy z dostupných analýz, na ktoré nadväzuje navrhovaný zámer NP (štatistiky, analýzy, štúdie,...): </w:t>
      </w:r>
    </w:p>
    <w:p w14:paraId="0928F760" w14:textId="77777777" w:rsidR="00DC0B9D" w:rsidRPr="00747A30" w:rsidRDefault="00DC0B9D" w:rsidP="00DC0B9D">
      <w:pPr>
        <w:pStyle w:val="Odsekzoznamu"/>
        <w:ind w:left="567"/>
        <w:jc w:val="both"/>
        <w:rPr>
          <w:lang w:val="sk-SK"/>
        </w:rPr>
      </w:pPr>
    </w:p>
    <w:p w14:paraId="03A6CBF6" w14:textId="77777777" w:rsidR="00DC0B9D" w:rsidRPr="00747A30" w:rsidRDefault="00DC0B9D" w:rsidP="00DC0B9D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r w:rsidRPr="00747A30">
        <w:rPr>
          <w:lang w:val="sk-SK"/>
        </w:rPr>
        <w:t>Európa 2020 - Stratégia na zabezpečenie inteligentného, udržateľného a inkluzívneho rastu</w:t>
      </w:r>
    </w:p>
    <w:p w14:paraId="30EB44AE" w14:textId="77777777" w:rsidR="00DC0B9D" w:rsidRPr="00747A30" w:rsidRDefault="00DC0B9D" w:rsidP="00DC0B9D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r w:rsidRPr="00747A30">
        <w:rPr>
          <w:lang w:val="sk-SK"/>
        </w:rPr>
        <w:t xml:space="preserve">Excellence in </w:t>
      </w:r>
      <w:proofErr w:type="spellStart"/>
      <w:r w:rsidRPr="00747A30">
        <w:rPr>
          <w:lang w:val="sk-SK"/>
        </w:rPr>
        <w:t>Public</w:t>
      </w:r>
      <w:proofErr w:type="spellEnd"/>
      <w:r w:rsidRPr="00747A30">
        <w:rPr>
          <w:lang w:val="sk-SK"/>
        </w:rPr>
        <w:t xml:space="preserve"> </w:t>
      </w:r>
      <w:proofErr w:type="spellStart"/>
      <w:r w:rsidRPr="00747A30">
        <w:rPr>
          <w:lang w:val="sk-SK"/>
        </w:rPr>
        <w:t>Administration</w:t>
      </w:r>
      <w:proofErr w:type="spellEnd"/>
      <w:r w:rsidRPr="00747A30">
        <w:rPr>
          <w:lang w:val="sk-SK"/>
        </w:rPr>
        <w:t xml:space="preserve"> </w:t>
      </w:r>
      <w:proofErr w:type="spellStart"/>
      <w:r w:rsidRPr="00747A30">
        <w:rPr>
          <w:lang w:val="sk-SK"/>
        </w:rPr>
        <w:t>for</w:t>
      </w:r>
      <w:proofErr w:type="spellEnd"/>
      <w:r w:rsidRPr="00747A30">
        <w:rPr>
          <w:lang w:val="sk-SK"/>
        </w:rPr>
        <w:t xml:space="preserve"> </w:t>
      </w:r>
      <w:proofErr w:type="spellStart"/>
      <w:r w:rsidRPr="00747A30">
        <w:rPr>
          <w:lang w:val="sk-SK"/>
        </w:rPr>
        <w:t>Competitiveness</w:t>
      </w:r>
      <w:proofErr w:type="spellEnd"/>
      <w:r w:rsidRPr="00747A30">
        <w:rPr>
          <w:lang w:val="sk-SK"/>
        </w:rPr>
        <w:t xml:space="preserve"> in EU </w:t>
      </w:r>
      <w:proofErr w:type="spellStart"/>
      <w:r w:rsidRPr="00747A30">
        <w:rPr>
          <w:lang w:val="sk-SK"/>
        </w:rPr>
        <w:t>Member</w:t>
      </w:r>
      <w:proofErr w:type="spellEnd"/>
      <w:r w:rsidRPr="00747A30">
        <w:rPr>
          <w:lang w:val="sk-SK"/>
        </w:rPr>
        <w:t xml:space="preserve"> </w:t>
      </w:r>
      <w:proofErr w:type="spellStart"/>
      <w:r w:rsidRPr="00747A30">
        <w:rPr>
          <w:lang w:val="sk-SK"/>
        </w:rPr>
        <w:t>States</w:t>
      </w:r>
      <w:proofErr w:type="spellEnd"/>
    </w:p>
    <w:p w14:paraId="4CB69669" w14:textId="77777777" w:rsidR="00DC0B9D" w:rsidRPr="00747A30" w:rsidRDefault="00DC0B9D" w:rsidP="00DC0B9D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proofErr w:type="spellStart"/>
      <w:r w:rsidRPr="00747A30">
        <w:rPr>
          <w:lang w:val="sk-SK"/>
        </w:rPr>
        <w:t>The</w:t>
      </w:r>
      <w:proofErr w:type="spellEnd"/>
      <w:r w:rsidRPr="00747A30">
        <w:rPr>
          <w:lang w:val="sk-SK"/>
        </w:rPr>
        <w:t> </w:t>
      </w:r>
      <w:proofErr w:type="spellStart"/>
      <w:r w:rsidRPr="00747A30">
        <w:rPr>
          <w:lang w:val="sk-SK"/>
        </w:rPr>
        <w:t>Worldwide</w:t>
      </w:r>
      <w:proofErr w:type="spellEnd"/>
      <w:r w:rsidRPr="00747A30">
        <w:rPr>
          <w:lang w:val="sk-SK"/>
        </w:rPr>
        <w:t xml:space="preserve"> </w:t>
      </w:r>
      <w:proofErr w:type="spellStart"/>
      <w:r w:rsidRPr="00747A30">
        <w:rPr>
          <w:lang w:val="sk-SK"/>
        </w:rPr>
        <w:t>Governance</w:t>
      </w:r>
      <w:proofErr w:type="spellEnd"/>
      <w:r w:rsidRPr="00747A30">
        <w:rPr>
          <w:lang w:val="sk-SK"/>
        </w:rPr>
        <w:t xml:space="preserve"> </w:t>
      </w:r>
      <w:proofErr w:type="spellStart"/>
      <w:r w:rsidRPr="00747A30">
        <w:rPr>
          <w:lang w:val="sk-SK"/>
        </w:rPr>
        <w:t>Indicators</w:t>
      </w:r>
      <w:proofErr w:type="spellEnd"/>
    </w:p>
    <w:p w14:paraId="13B513C3" w14:textId="77777777" w:rsidR="00DC0B9D" w:rsidRPr="00747A30" w:rsidRDefault="00DC0B9D" w:rsidP="00DC0B9D">
      <w:pPr>
        <w:pStyle w:val="Odsekzoznamu"/>
        <w:ind w:left="284"/>
        <w:jc w:val="both"/>
        <w:rPr>
          <w:lang w:val="sk-SK"/>
        </w:rPr>
      </w:pPr>
      <w:r w:rsidRPr="00747A30">
        <w:rPr>
          <w:lang w:val="sk-SK"/>
        </w:rPr>
        <w:t>- Podľa oboch vyššie uvedených dokument patrí SR medzi najmenej vyspelé krajiny v oblasti verejnej správy, z čoho vyplýva že pre SR je nevyhnutné prijať opatrenia, ktoré budú viesť k zlepšeniu hodnotenia kvality služieb, ktoré majú verejný charakter</w:t>
      </w:r>
    </w:p>
    <w:p w14:paraId="24C3DC9C" w14:textId="77777777" w:rsidR="00DC0B9D" w:rsidRPr="00747A30" w:rsidRDefault="00C55703" w:rsidP="00DC0B9D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hyperlink r:id="rId13" w:tooltip="PDF - 3635 kB" w:history="1">
        <w:r w:rsidR="00DC0B9D" w:rsidRPr="00747A30">
          <w:rPr>
            <w:lang w:val="sk-SK"/>
          </w:rPr>
          <w:t>Aktualizácia národnej stratégie regionálneho rozvoja Slovenskej republiky</w:t>
        </w:r>
      </w:hyperlink>
      <w:r w:rsidR="00DC0B9D" w:rsidRPr="00747A30">
        <w:rPr>
          <w:lang w:val="sk-SK"/>
        </w:rPr>
        <w:t> (na roky 2014 až 2020)</w:t>
      </w:r>
    </w:p>
    <w:p w14:paraId="08F30C11" w14:textId="77777777" w:rsidR="00DC0B9D" w:rsidRPr="00747A30" w:rsidRDefault="00DC0B9D" w:rsidP="00DC0B9D">
      <w:pPr>
        <w:pStyle w:val="Odsekzoznamu"/>
        <w:numPr>
          <w:ilvl w:val="0"/>
          <w:numId w:val="33"/>
        </w:numPr>
        <w:ind w:left="284" w:hanging="283"/>
        <w:jc w:val="both"/>
        <w:rPr>
          <w:lang w:val="sk-SK"/>
        </w:rPr>
      </w:pPr>
      <w:r w:rsidRPr="00747A30">
        <w:rPr>
          <w:lang w:val="sk-SK"/>
        </w:rPr>
        <w:t>Národná stratégia regionálneho a územného rozvoja Slovenskej republiky do roku 2030 - Vstupná správa.</w:t>
      </w:r>
    </w:p>
    <w:p w14:paraId="772F5E71" w14:textId="77777777" w:rsidR="00DC0B9D" w:rsidRPr="00747A30" w:rsidRDefault="00DC0B9D" w:rsidP="00FB1D7F">
      <w:pPr>
        <w:pStyle w:val="Odsekzoznamu"/>
        <w:ind w:left="567"/>
        <w:jc w:val="both"/>
        <w:rPr>
          <w:lang w:val="sk-SK"/>
        </w:rPr>
      </w:pPr>
    </w:p>
    <w:p w14:paraId="569F69DD" w14:textId="626ADEC8" w:rsidR="00E24719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747A30">
        <w:rPr>
          <w:lang w:val="sk-SK"/>
        </w:rPr>
        <w:t>Uveďte, na ktoré z ukončených a prebiehajúcich národných projektov</w:t>
      </w:r>
      <w:r w:rsidRPr="00747A30">
        <w:rPr>
          <w:rStyle w:val="Odkaznapoznmkupodiarou"/>
          <w:lang w:val="sk-SK"/>
        </w:rPr>
        <w:footnoteReference w:id="6"/>
      </w:r>
      <w:r w:rsidRPr="00747A30">
        <w:rPr>
          <w:lang w:val="sk-SK"/>
        </w:rPr>
        <w:t xml:space="preserve"> zámer NP priamo nadväzuje, v čom je navrhovaný NP od nich odlišný a ako sú v ňom zohľadnené výsledky/dopady predchádzajúcich NP (ak relevantné):</w:t>
      </w:r>
    </w:p>
    <w:p w14:paraId="38F18ED3" w14:textId="77777777" w:rsidR="004759BD" w:rsidRPr="00747A30" w:rsidRDefault="004759BD" w:rsidP="004759BD">
      <w:pPr>
        <w:pStyle w:val="Odsekzoznamu"/>
        <w:ind w:left="567"/>
        <w:jc w:val="both"/>
        <w:rPr>
          <w:lang w:val="sk-SK"/>
        </w:rPr>
      </w:pPr>
    </w:p>
    <w:p w14:paraId="713AEDDF" w14:textId="03642350" w:rsidR="00DC0B9D" w:rsidRDefault="00DC0B9D" w:rsidP="00FB1D7F">
      <w:pPr>
        <w:pStyle w:val="Odsekzoznamu"/>
        <w:ind w:left="0"/>
        <w:jc w:val="both"/>
        <w:rPr>
          <w:lang w:val="sk-SK"/>
        </w:rPr>
      </w:pPr>
      <w:r w:rsidRPr="00747A30">
        <w:rPr>
          <w:lang w:val="sk-SK"/>
        </w:rPr>
        <w:t xml:space="preserve">Zámer NP </w:t>
      </w:r>
      <w:r w:rsidR="004B363B">
        <w:rPr>
          <w:lang w:val="sk-SK"/>
        </w:rPr>
        <w:t xml:space="preserve">synergicky a komplementárne </w:t>
      </w:r>
      <w:r w:rsidRPr="00747A30">
        <w:rPr>
          <w:lang w:val="sk-SK"/>
        </w:rPr>
        <w:t xml:space="preserve">nadväzuje na </w:t>
      </w:r>
      <w:r w:rsidR="004B363B">
        <w:rPr>
          <w:lang w:val="sk-SK"/>
        </w:rPr>
        <w:t xml:space="preserve">národné </w:t>
      </w:r>
      <w:r w:rsidRPr="00747A30">
        <w:rPr>
          <w:lang w:val="sk-SK"/>
        </w:rPr>
        <w:t>projekt</w:t>
      </w:r>
      <w:r w:rsidR="00082D10">
        <w:rPr>
          <w:lang w:val="sk-SK"/>
        </w:rPr>
        <w:t>y</w:t>
      </w:r>
      <w:r w:rsidRPr="00747A30">
        <w:rPr>
          <w:lang w:val="sk-SK"/>
        </w:rPr>
        <w:t xml:space="preserve"> Meranie efektívnosti poskytovaných služieb verejnej správy, inštitucionálny rozvoj Klientskych centier a integrácia spätnej väzby klientov ITMS kód: 314011D438</w:t>
      </w:r>
      <w:r w:rsidR="00082D10">
        <w:rPr>
          <w:lang w:val="sk-SK"/>
        </w:rPr>
        <w:t xml:space="preserve">, </w:t>
      </w:r>
      <w:r w:rsidRPr="00747A30">
        <w:rPr>
          <w:lang w:val="sk-SK"/>
        </w:rPr>
        <w:t xml:space="preserve"> </w:t>
      </w:r>
      <w:r w:rsidR="00082D10" w:rsidRPr="00082D10">
        <w:rPr>
          <w:lang w:val="sk-SK"/>
        </w:rPr>
        <w:t xml:space="preserve">Podpora transformačného procesu okresných úradov pri poskytovaní </w:t>
      </w:r>
      <w:proofErr w:type="spellStart"/>
      <w:r w:rsidR="00082D10" w:rsidRPr="00082D10">
        <w:rPr>
          <w:lang w:val="sk-SK"/>
        </w:rPr>
        <w:t>proklientsky</w:t>
      </w:r>
      <w:proofErr w:type="spellEnd"/>
      <w:r w:rsidR="00082D10" w:rsidRPr="00082D10">
        <w:rPr>
          <w:lang w:val="sk-SK"/>
        </w:rPr>
        <w:t xml:space="preserve"> orientovaných služieb klientskych pracovísk</w:t>
      </w:r>
      <w:r w:rsidR="00082D10">
        <w:rPr>
          <w:lang w:val="sk-SK"/>
        </w:rPr>
        <w:t xml:space="preserve"> ITMS kód: 314011T215 </w:t>
      </w:r>
      <w:r w:rsidRPr="00747A30">
        <w:rPr>
          <w:lang w:val="sk-SK"/>
        </w:rPr>
        <w:t xml:space="preserve">a aj </w:t>
      </w:r>
      <w:r w:rsidR="004B363B">
        <w:rPr>
          <w:lang w:val="sk-SK"/>
        </w:rPr>
        <w:t xml:space="preserve">národný </w:t>
      </w:r>
      <w:r w:rsidRPr="00747A30">
        <w:rPr>
          <w:lang w:val="sk-SK"/>
        </w:rPr>
        <w:t xml:space="preserve">projekt Optimalizácia procesov vo verejnej správe ITMS kód: 314011D309. </w:t>
      </w:r>
    </w:p>
    <w:p w14:paraId="6284B6F8" w14:textId="77777777" w:rsidR="004759BD" w:rsidRPr="00747A30" w:rsidRDefault="004759BD" w:rsidP="00FB1D7F">
      <w:pPr>
        <w:pStyle w:val="Odsekzoznamu"/>
        <w:ind w:left="0"/>
        <w:jc w:val="both"/>
        <w:rPr>
          <w:lang w:val="sk-SK"/>
        </w:rPr>
      </w:pPr>
    </w:p>
    <w:p w14:paraId="3CAD20DF" w14:textId="576CA284" w:rsidR="00E24719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747A30">
        <w:rPr>
          <w:lang w:val="sk-SK"/>
        </w:rPr>
        <w:t xml:space="preserve">Popíšte problémové a prioritné oblasti, ktoré rieši zámer národného projektu. (Zoznam známych problémov, ktoré vyplývajú zo súčasného stavu a je potrebné ich riešiť): </w:t>
      </w:r>
    </w:p>
    <w:p w14:paraId="7DA393F4" w14:textId="77777777" w:rsidR="00C564D6" w:rsidRDefault="00C564D6" w:rsidP="000724F6">
      <w:pPr>
        <w:pStyle w:val="Odsekzoznamu"/>
        <w:ind w:left="567"/>
        <w:jc w:val="both"/>
        <w:rPr>
          <w:lang w:val="sk-SK"/>
        </w:rPr>
      </w:pPr>
    </w:p>
    <w:p w14:paraId="7E64707C" w14:textId="4F869634" w:rsidR="00C631C8" w:rsidRPr="000724F6" w:rsidRDefault="004B363B" w:rsidP="000724F6">
      <w:pPr>
        <w:jc w:val="both"/>
        <w:rPr>
          <w:lang w:val="sk-SK"/>
        </w:rPr>
      </w:pPr>
      <w:r w:rsidRPr="000724F6">
        <w:rPr>
          <w:lang w:val="sk-SK"/>
        </w:rPr>
        <w:t>Slovenská republika vykonala od roku 2013 reformné opatrenia v rámci programu</w:t>
      </w:r>
      <w:r w:rsidR="00C631C8" w:rsidRPr="000724F6">
        <w:rPr>
          <w:lang w:val="sk-SK"/>
        </w:rPr>
        <w:t xml:space="preserve"> Efektívna, Spoľahlivá a Otvorená verejná správa (ESO) </w:t>
      </w:r>
      <w:r w:rsidRPr="000724F6">
        <w:rPr>
          <w:lang w:val="sk-SK"/>
        </w:rPr>
        <w:t xml:space="preserve">vrátane investícií </w:t>
      </w:r>
      <w:r w:rsidR="00C631C8" w:rsidRPr="000724F6">
        <w:rPr>
          <w:lang w:val="sk-SK"/>
        </w:rPr>
        <w:t>orientované na</w:t>
      </w:r>
      <w:r w:rsidRPr="000724F6">
        <w:rPr>
          <w:lang w:val="sk-SK"/>
        </w:rPr>
        <w:t> </w:t>
      </w:r>
      <w:r w:rsidR="00C631C8" w:rsidRPr="000724F6">
        <w:rPr>
          <w:lang w:val="sk-SK"/>
        </w:rPr>
        <w:t>podpor</w:t>
      </w:r>
      <w:r w:rsidRPr="000724F6">
        <w:rPr>
          <w:lang w:val="sk-SK"/>
        </w:rPr>
        <w:t>u zavádzania integrovaných služieb</w:t>
      </w:r>
      <w:r w:rsidR="00313CCA" w:rsidRPr="000724F6">
        <w:rPr>
          <w:lang w:val="sk-SK"/>
        </w:rPr>
        <w:t xml:space="preserve"> </w:t>
      </w:r>
      <w:r w:rsidRPr="000724F6">
        <w:rPr>
          <w:lang w:val="sk-SK"/>
        </w:rPr>
        <w:t xml:space="preserve">miestnej štátnej správy na úrovni </w:t>
      </w:r>
      <w:r w:rsidRPr="000724F6">
        <w:rPr>
          <w:lang w:val="sk-SK"/>
        </w:rPr>
        <w:lastRenderedPageBreak/>
        <w:t xml:space="preserve">okresných úradov, na ktorú </w:t>
      </w:r>
      <w:r w:rsidR="00C631C8" w:rsidRPr="000724F6">
        <w:rPr>
          <w:lang w:val="sk-SK"/>
        </w:rPr>
        <w:t>svojím podporným rámcom</w:t>
      </w:r>
      <w:r w:rsidR="00313CCA" w:rsidRPr="000724F6">
        <w:rPr>
          <w:lang w:val="sk-SK"/>
        </w:rPr>
        <w:t xml:space="preserve"> </w:t>
      </w:r>
      <w:r w:rsidR="00C631C8" w:rsidRPr="000724F6">
        <w:rPr>
          <w:lang w:val="sk-SK"/>
        </w:rPr>
        <w:t xml:space="preserve">v oblasti optimalizácie procesov, zvyšovania efektivity a kvality verejných služieb ako aj zavádzania inovácii nadviazali aj investície </w:t>
      </w:r>
      <w:r w:rsidR="00313CCA" w:rsidRPr="000724F6">
        <w:rPr>
          <w:lang w:val="sk-SK"/>
        </w:rPr>
        <w:t>z operačného programu Efektívna verejná správa</w:t>
      </w:r>
      <w:r w:rsidR="00C631C8" w:rsidRPr="000724F6">
        <w:rPr>
          <w:lang w:val="sk-SK"/>
        </w:rPr>
        <w:t>.</w:t>
      </w:r>
    </w:p>
    <w:p w14:paraId="14DDE494" w14:textId="77777777" w:rsidR="00C631C8" w:rsidRPr="000724F6" w:rsidRDefault="00C631C8" w:rsidP="000724F6">
      <w:pPr>
        <w:jc w:val="both"/>
        <w:rPr>
          <w:lang w:val="sk-SK"/>
        </w:rPr>
      </w:pPr>
    </w:p>
    <w:p w14:paraId="07531F54" w14:textId="3BA17CE3" w:rsidR="00C631C8" w:rsidRPr="000724F6" w:rsidRDefault="00C631C8" w:rsidP="000724F6">
      <w:pPr>
        <w:jc w:val="both"/>
        <w:rPr>
          <w:lang w:val="sk-SK"/>
        </w:rPr>
      </w:pPr>
      <w:r w:rsidRPr="000724F6">
        <w:rPr>
          <w:lang w:val="sk-SK"/>
        </w:rPr>
        <w:t xml:space="preserve">Cieľom doterajších snáh je, aby </w:t>
      </w:r>
      <w:r w:rsidR="00DC0B9D" w:rsidRPr="000724F6">
        <w:rPr>
          <w:lang w:val="sk-SK"/>
        </w:rPr>
        <w:t>Slovenská republika v oblasti verejnej správy</w:t>
      </w:r>
      <w:r w:rsidRPr="000724F6">
        <w:rPr>
          <w:lang w:val="sk-SK"/>
        </w:rPr>
        <w:t xml:space="preserve"> potlačila hlavné negatíva pri poskytovaní verejných služieb, ktoré sú</w:t>
      </w:r>
      <w:r w:rsidR="00DC0B9D" w:rsidRPr="000724F6">
        <w:rPr>
          <w:lang w:val="sk-SK"/>
        </w:rPr>
        <w:t xml:space="preserve"> charakteristick</w:t>
      </w:r>
      <w:r w:rsidRPr="000724F6">
        <w:rPr>
          <w:lang w:val="sk-SK"/>
        </w:rPr>
        <w:t xml:space="preserve">é najmä </w:t>
      </w:r>
      <w:r w:rsidR="00DC0B9D" w:rsidRPr="000724F6">
        <w:rPr>
          <w:lang w:val="sk-SK"/>
        </w:rPr>
        <w:t>neefektívnosťou, vysokou mierou fragmentácie a chýbajúcou koordináciou</w:t>
      </w:r>
      <w:r w:rsidRPr="000724F6">
        <w:rPr>
          <w:lang w:val="sk-SK"/>
        </w:rPr>
        <w:t xml:space="preserve"> činností v procesoch</w:t>
      </w:r>
      <w:r w:rsidR="00DC0B9D" w:rsidRPr="000724F6">
        <w:rPr>
          <w:lang w:val="sk-SK"/>
        </w:rPr>
        <w:t xml:space="preserve">. </w:t>
      </w:r>
    </w:p>
    <w:p w14:paraId="7427F4E4" w14:textId="77777777" w:rsidR="00C631C8" w:rsidRPr="000724F6" w:rsidRDefault="00C631C8" w:rsidP="000724F6">
      <w:pPr>
        <w:jc w:val="both"/>
        <w:rPr>
          <w:lang w:val="sk-SK"/>
        </w:rPr>
      </w:pPr>
    </w:p>
    <w:p w14:paraId="07E8458D" w14:textId="3737B80A" w:rsidR="0045519B" w:rsidRPr="000724F6" w:rsidRDefault="00C631C8" w:rsidP="000724F6">
      <w:pPr>
        <w:jc w:val="both"/>
        <w:rPr>
          <w:lang w:val="sk-SK"/>
        </w:rPr>
      </w:pPr>
      <w:r w:rsidRPr="000724F6">
        <w:rPr>
          <w:lang w:val="sk-SK"/>
        </w:rPr>
        <w:t xml:space="preserve">Realizované opatrenia majú potom potenciál prispieť </w:t>
      </w:r>
      <w:r w:rsidR="00DC0B9D" w:rsidRPr="000724F6">
        <w:rPr>
          <w:lang w:val="sk-SK"/>
        </w:rPr>
        <w:t>k zlepšeniu hodnotenia kvality služieb poskytovaných verejnou správou, resp. služieb, ktoré majú verejný charakter</w:t>
      </w:r>
      <w:r w:rsidR="007C22CE" w:rsidRPr="000724F6">
        <w:rPr>
          <w:lang w:val="sk-SK"/>
        </w:rPr>
        <w:t xml:space="preserve"> zo strany klientov</w:t>
      </w:r>
      <w:r w:rsidR="00DC0B9D" w:rsidRPr="000724F6">
        <w:rPr>
          <w:lang w:val="sk-SK"/>
        </w:rPr>
        <w:t xml:space="preserve">, </w:t>
      </w:r>
      <w:r w:rsidRPr="000724F6">
        <w:rPr>
          <w:lang w:val="sk-SK"/>
        </w:rPr>
        <w:t>ako </w:t>
      </w:r>
      <w:r w:rsidR="00DC0B9D" w:rsidRPr="000724F6">
        <w:rPr>
          <w:lang w:val="sk-SK"/>
        </w:rPr>
        <w:t xml:space="preserve">aj </w:t>
      </w:r>
      <w:r w:rsidR="00C74EE1" w:rsidRPr="000724F6">
        <w:rPr>
          <w:lang w:val="sk-SK"/>
        </w:rPr>
        <w:t xml:space="preserve">vytvárať </w:t>
      </w:r>
      <w:r w:rsidR="00DC0B9D" w:rsidRPr="000724F6">
        <w:rPr>
          <w:lang w:val="sk-SK"/>
        </w:rPr>
        <w:t>podmienky pre poskytovanie kvalitných a dostupných verejných služieb efektívnym spôsobom v každej fáze života</w:t>
      </w:r>
      <w:r w:rsidRPr="000724F6">
        <w:rPr>
          <w:lang w:val="sk-SK"/>
        </w:rPr>
        <w:t xml:space="preserve"> občana</w:t>
      </w:r>
      <w:r w:rsidR="00DC0B9D" w:rsidRPr="000724F6">
        <w:rPr>
          <w:lang w:val="sk-SK"/>
        </w:rPr>
        <w:t xml:space="preserve">, resp. </w:t>
      </w:r>
      <w:r w:rsidRPr="000724F6">
        <w:rPr>
          <w:lang w:val="sk-SK"/>
        </w:rPr>
        <w:t xml:space="preserve">pri </w:t>
      </w:r>
      <w:r w:rsidR="00DC0B9D" w:rsidRPr="000724F6">
        <w:rPr>
          <w:lang w:val="sk-SK"/>
        </w:rPr>
        <w:t>podnikan</w:t>
      </w:r>
      <w:r w:rsidRPr="000724F6">
        <w:rPr>
          <w:lang w:val="sk-SK"/>
        </w:rPr>
        <w:t>í</w:t>
      </w:r>
      <w:r w:rsidR="00DC0B9D" w:rsidRPr="000724F6">
        <w:rPr>
          <w:lang w:val="sk-SK"/>
        </w:rPr>
        <w:t>.</w:t>
      </w:r>
      <w:r w:rsidR="0045519B" w:rsidRPr="00AD549D">
        <w:rPr>
          <w:lang w:val="sk-SK"/>
        </w:rPr>
        <w:t xml:space="preserve"> </w:t>
      </w:r>
    </w:p>
    <w:p w14:paraId="7111FD42" w14:textId="77777777" w:rsidR="00C631C8" w:rsidRPr="00AD549D" w:rsidRDefault="00C631C8" w:rsidP="000724F6">
      <w:pPr>
        <w:jc w:val="both"/>
        <w:rPr>
          <w:lang w:val="sk-SK"/>
        </w:rPr>
      </w:pPr>
    </w:p>
    <w:p w14:paraId="38EBB5BE" w14:textId="09D3052D" w:rsidR="007C22CE" w:rsidRPr="000724F6" w:rsidRDefault="002732D9" w:rsidP="002732D9">
      <w:pPr>
        <w:pStyle w:val="Odsekzoznamu"/>
        <w:ind w:left="0"/>
        <w:jc w:val="both"/>
        <w:rPr>
          <w:lang w:val="sk-SK"/>
        </w:rPr>
      </w:pPr>
      <w:r w:rsidRPr="000724F6">
        <w:rPr>
          <w:lang w:val="sk-SK"/>
        </w:rPr>
        <w:t xml:space="preserve">Aj napriek doterajším opatreniam, ktoré </w:t>
      </w:r>
      <w:r w:rsidR="007C22CE" w:rsidRPr="000724F6">
        <w:rPr>
          <w:lang w:val="sk-SK"/>
        </w:rPr>
        <w:t>vedú</w:t>
      </w:r>
      <w:r w:rsidRPr="000724F6">
        <w:rPr>
          <w:lang w:val="sk-SK"/>
        </w:rPr>
        <w:t xml:space="preserve"> k</w:t>
      </w:r>
      <w:r w:rsidR="007C22CE" w:rsidRPr="000724F6">
        <w:rPr>
          <w:lang w:val="sk-SK"/>
        </w:rPr>
        <w:t xml:space="preserve"> postupnému </w:t>
      </w:r>
      <w:r w:rsidRPr="000724F6">
        <w:rPr>
          <w:lang w:val="sk-SK"/>
        </w:rPr>
        <w:t xml:space="preserve">zlepšeniu hodnotenia kvality služieb </w:t>
      </w:r>
      <w:r w:rsidR="007C22CE" w:rsidRPr="000724F6">
        <w:rPr>
          <w:lang w:val="sk-SK"/>
        </w:rPr>
        <w:t>verejných služieb</w:t>
      </w:r>
      <w:r w:rsidRPr="000724F6">
        <w:rPr>
          <w:lang w:val="sk-SK"/>
        </w:rPr>
        <w:t xml:space="preserve"> ako</w:t>
      </w:r>
      <w:r w:rsidR="00C631C8" w:rsidRPr="000724F6">
        <w:rPr>
          <w:lang w:val="sk-SK"/>
        </w:rPr>
        <w:t> </w:t>
      </w:r>
      <w:r w:rsidRPr="000724F6">
        <w:rPr>
          <w:lang w:val="sk-SK"/>
        </w:rPr>
        <w:t>aj</w:t>
      </w:r>
      <w:r w:rsidR="00C631C8" w:rsidRPr="000724F6">
        <w:rPr>
          <w:lang w:val="sk-SK"/>
        </w:rPr>
        <w:t> </w:t>
      </w:r>
      <w:r w:rsidR="007C22CE" w:rsidRPr="000724F6">
        <w:rPr>
          <w:lang w:val="sk-SK"/>
        </w:rPr>
        <w:t>realizáciou inovovaných</w:t>
      </w:r>
      <w:r w:rsidRPr="000724F6">
        <w:rPr>
          <w:lang w:val="sk-SK"/>
        </w:rPr>
        <w:t xml:space="preserve"> nástroj</w:t>
      </w:r>
      <w:r w:rsidR="007C22CE" w:rsidRPr="000724F6">
        <w:rPr>
          <w:lang w:val="sk-SK"/>
        </w:rPr>
        <w:t>ov</w:t>
      </w:r>
      <w:r w:rsidRPr="000724F6">
        <w:rPr>
          <w:lang w:val="sk-SK"/>
        </w:rPr>
        <w:t xml:space="preserve"> na</w:t>
      </w:r>
      <w:r w:rsidR="007C22CE" w:rsidRPr="000724F6">
        <w:rPr>
          <w:lang w:val="sk-SK"/>
        </w:rPr>
        <w:t> </w:t>
      </w:r>
      <w:r w:rsidRPr="000724F6">
        <w:rPr>
          <w:lang w:val="sk-SK"/>
        </w:rPr>
        <w:t>poskytovanie kvalitných a dostupných verejných služieb v každej fáze života, je</w:t>
      </w:r>
      <w:r w:rsidR="007C22CE" w:rsidRPr="000724F6">
        <w:rPr>
          <w:lang w:val="sk-SK"/>
        </w:rPr>
        <w:t> </w:t>
      </w:r>
      <w:r w:rsidRPr="000724F6">
        <w:rPr>
          <w:lang w:val="sk-SK"/>
        </w:rPr>
        <w:t>potrebné neustále hľadať možnosti a spôsoby, ktor</w:t>
      </w:r>
      <w:r w:rsidR="007C22CE" w:rsidRPr="000724F6">
        <w:rPr>
          <w:lang w:val="sk-SK"/>
        </w:rPr>
        <w:t>é</w:t>
      </w:r>
      <w:r w:rsidRPr="000724F6">
        <w:rPr>
          <w:lang w:val="sk-SK"/>
        </w:rPr>
        <w:t xml:space="preserve"> budú kľúčové pre dlhodobý a</w:t>
      </w:r>
      <w:r w:rsidR="007C22CE" w:rsidRPr="000724F6">
        <w:rPr>
          <w:lang w:val="sk-SK"/>
        </w:rPr>
        <w:t> </w:t>
      </w:r>
      <w:r w:rsidRPr="000724F6">
        <w:rPr>
          <w:lang w:val="sk-SK"/>
        </w:rPr>
        <w:t xml:space="preserve">udržateľný rozvoj </w:t>
      </w:r>
      <w:r w:rsidR="007C22CE" w:rsidRPr="000724F6">
        <w:rPr>
          <w:lang w:val="sk-SK"/>
        </w:rPr>
        <w:t xml:space="preserve">týchto špecifických služieb </w:t>
      </w:r>
      <w:r w:rsidRPr="000724F6">
        <w:rPr>
          <w:lang w:val="sk-SK"/>
        </w:rPr>
        <w:t xml:space="preserve">na území Slovenska. </w:t>
      </w:r>
    </w:p>
    <w:p w14:paraId="5948D6E6" w14:textId="77777777" w:rsidR="007C22CE" w:rsidRPr="000724F6" w:rsidRDefault="007C22CE" w:rsidP="002732D9">
      <w:pPr>
        <w:pStyle w:val="Odsekzoznamu"/>
        <w:ind w:left="0"/>
        <w:jc w:val="both"/>
        <w:rPr>
          <w:lang w:val="sk-SK"/>
        </w:rPr>
      </w:pPr>
    </w:p>
    <w:p w14:paraId="621AA5F3" w14:textId="29E13EB2" w:rsidR="00806C35" w:rsidRPr="000724F6" w:rsidRDefault="007C22CE" w:rsidP="00FB1D7F">
      <w:pPr>
        <w:pStyle w:val="Odsekzoznamu"/>
        <w:ind w:left="0"/>
        <w:jc w:val="both"/>
        <w:rPr>
          <w:lang w:val="sk-SK"/>
        </w:rPr>
      </w:pPr>
      <w:r w:rsidRPr="000724F6">
        <w:rPr>
          <w:lang w:val="sk-SK"/>
        </w:rPr>
        <w:t xml:space="preserve">V rámci jednotlivých realizovaných agend v úrovni miestnej štátnej správy možno identifikovať rad špecifických služieb, kde vzhľadom na vonkajšie okolnosti </w:t>
      </w:r>
      <w:r w:rsidR="00806C35" w:rsidRPr="000724F6">
        <w:rPr>
          <w:lang w:val="sk-SK"/>
        </w:rPr>
        <w:t xml:space="preserve">(napr. závislosť od externých vstupov, čím nie je možné procedurálne vyriešiť konkrétny problém výhradne v úrovni OÚ) a celkový rozsah dotknutých agend je aj napriek vykonaným optimalizačným opatreniam </w:t>
      </w:r>
      <w:r w:rsidR="00AD549D" w:rsidRPr="000724F6">
        <w:rPr>
          <w:lang w:val="sk-SK"/>
        </w:rPr>
        <w:t xml:space="preserve">na OÚ </w:t>
      </w:r>
      <w:r w:rsidR="00806C35" w:rsidRPr="000724F6">
        <w:rPr>
          <w:lang w:val="sk-SK"/>
        </w:rPr>
        <w:t>možn</w:t>
      </w:r>
      <w:r w:rsidR="00AD549D" w:rsidRPr="000724F6">
        <w:rPr>
          <w:lang w:val="sk-SK"/>
        </w:rPr>
        <w:t>é</w:t>
      </w:r>
      <w:r w:rsidR="00806C35" w:rsidRPr="000724F6">
        <w:rPr>
          <w:lang w:val="sk-SK"/>
        </w:rPr>
        <w:t xml:space="preserve"> identifikovať relatívne nízky príspevok k celkovej efektivite poskytovaných verejných služieb</w:t>
      </w:r>
      <w:r w:rsidR="00AD549D" w:rsidRPr="000724F6">
        <w:rPr>
          <w:lang w:val="sk-SK"/>
        </w:rPr>
        <w:t>, čím trpí aj subjektívne hodnotenie kvality zo strany klientov pri poskytovaní takýchto služieb.</w:t>
      </w:r>
    </w:p>
    <w:p w14:paraId="1C1BB6EF" w14:textId="77777777" w:rsidR="00806C35" w:rsidRPr="000724F6" w:rsidRDefault="00806C35" w:rsidP="00FB1D7F">
      <w:pPr>
        <w:pStyle w:val="Odsekzoznamu"/>
        <w:ind w:left="0"/>
        <w:jc w:val="both"/>
        <w:rPr>
          <w:lang w:val="sk-SK"/>
        </w:rPr>
      </w:pPr>
    </w:p>
    <w:p w14:paraId="5236FF8A" w14:textId="38402D86" w:rsidR="00AD549D" w:rsidRPr="000724F6" w:rsidRDefault="00AD549D" w:rsidP="00FB1D7F">
      <w:pPr>
        <w:pStyle w:val="Odsekzoznamu"/>
        <w:ind w:left="0"/>
        <w:jc w:val="both"/>
        <w:rPr>
          <w:lang w:val="sk-SK"/>
        </w:rPr>
      </w:pPr>
      <w:r w:rsidRPr="000724F6">
        <w:rPr>
          <w:lang w:val="sk-SK"/>
        </w:rPr>
        <w:t xml:space="preserve">Z uvedeného dôvodu je preto potrebné </w:t>
      </w:r>
      <w:r>
        <w:rPr>
          <w:lang w:val="sk-SK"/>
        </w:rPr>
        <w:t xml:space="preserve">na exponovaných pracoviskách OÚ </w:t>
      </w:r>
      <w:r w:rsidRPr="000724F6">
        <w:rPr>
          <w:lang w:val="sk-SK"/>
        </w:rPr>
        <w:t>zabezpečiť čo</w:t>
      </w:r>
      <w:r>
        <w:rPr>
          <w:lang w:val="sk-SK"/>
        </w:rPr>
        <w:t> </w:t>
      </w:r>
      <w:r w:rsidRPr="000724F6">
        <w:rPr>
          <w:lang w:val="sk-SK"/>
        </w:rPr>
        <w:t>najefektívnejšie spracovanie dobiehajúcej minulej agendy a hľadanie ďalších riešení pre optimalizáciu takýchto agend do budúcnosti, aby sa dosiahli čo najlepšie parametre z </w:t>
      </w:r>
      <w:r w:rsidR="00C21EED" w:rsidRPr="00AD549D">
        <w:rPr>
          <w:lang w:val="sk-SK"/>
        </w:rPr>
        <w:t>prevádzkovo</w:t>
      </w:r>
      <w:r w:rsidRPr="000724F6">
        <w:rPr>
          <w:lang w:val="sk-SK"/>
        </w:rPr>
        <w:t xml:space="preserve"> – procesného </w:t>
      </w:r>
      <w:r w:rsidR="00C21EED">
        <w:rPr>
          <w:lang w:val="sk-SK"/>
        </w:rPr>
        <w:t xml:space="preserve">(kvantitatívneho) </w:t>
      </w:r>
      <w:r w:rsidRPr="000724F6">
        <w:rPr>
          <w:lang w:val="sk-SK"/>
        </w:rPr>
        <w:t>hľadiska ako aj hľadiska kvality poskytnutia takýchto verejných služieb.</w:t>
      </w:r>
      <w:r w:rsidR="00C21EED">
        <w:rPr>
          <w:lang w:val="sk-SK"/>
        </w:rPr>
        <w:t xml:space="preserve"> Exponované pracoviská</w:t>
      </w:r>
      <w:r w:rsidR="00C21EED" w:rsidRPr="00C21EED">
        <w:rPr>
          <w:lang w:val="sk-SK"/>
        </w:rPr>
        <w:t xml:space="preserve"> aktuálne pociťujú najväčšie zaťaženie, nakoľko ich výkon priamo súvisí s aktuálnou orientáciou </w:t>
      </w:r>
      <w:r w:rsidR="00152CDC">
        <w:rPr>
          <w:lang w:val="sk-SK"/>
        </w:rPr>
        <w:t>národných priorít nadväzujúcich na programové</w:t>
      </w:r>
      <w:r w:rsidR="00C21EED" w:rsidRPr="00C21EED">
        <w:rPr>
          <w:lang w:val="sk-SK"/>
        </w:rPr>
        <w:t xml:space="preserve"> vyhlásen</w:t>
      </w:r>
      <w:r w:rsidR="00152CDC">
        <w:rPr>
          <w:lang w:val="sk-SK"/>
        </w:rPr>
        <w:t>ie</w:t>
      </w:r>
      <w:r w:rsidR="00C21EED" w:rsidRPr="00C21EED">
        <w:rPr>
          <w:lang w:val="sk-SK"/>
        </w:rPr>
        <w:t xml:space="preserve"> vlády</w:t>
      </w:r>
      <w:r w:rsidR="00152CDC">
        <w:rPr>
          <w:lang w:val="sk-SK"/>
        </w:rPr>
        <w:t xml:space="preserve"> SR</w:t>
      </w:r>
      <w:r w:rsidR="00C21EED" w:rsidRPr="00C21EED">
        <w:rPr>
          <w:lang w:val="sk-SK"/>
        </w:rPr>
        <w:t xml:space="preserve">, </w:t>
      </w:r>
      <w:r w:rsidR="00152CDC">
        <w:rPr>
          <w:lang w:val="sk-SK"/>
        </w:rPr>
        <w:t>implementáciu P</w:t>
      </w:r>
      <w:r w:rsidR="00C21EED" w:rsidRPr="00C21EED">
        <w:rPr>
          <w:lang w:val="sk-SK"/>
        </w:rPr>
        <w:t>lán</w:t>
      </w:r>
      <w:r w:rsidR="00152CDC">
        <w:rPr>
          <w:lang w:val="sk-SK"/>
        </w:rPr>
        <w:t>u</w:t>
      </w:r>
      <w:r w:rsidR="00C21EED" w:rsidRPr="00C21EED">
        <w:rPr>
          <w:lang w:val="sk-SK"/>
        </w:rPr>
        <w:t xml:space="preserve"> obnovy a</w:t>
      </w:r>
      <w:r w:rsidR="00152CDC">
        <w:rPr>
          <w:lang w:val="sk-SK"/>
        </w:rPr>
        <w:t> </w:t>
      </w:r>
      <w:r w:rsidR="00C21EED" w:rsidRPr="00C21EED">
        <w:rPr>
          <w:lang w:val="sk-SK"/>
        </w:rPr>
        <w:t>odolnosti</w:t>
      </w:r>
      <w:r w:rsidR="00152CDC">
        <w:rPr>
          <w:lang w:val="sk-SK"/>
        </w:rPr>
        <w:t xml:space="preserve"> SR a politík súdržnosti 2021-2027 a </w:t>
      </w:r>
      <w:r w:rsidR="00C21EED" w:rsidRPr="00C21EED">
        <w:rPr>
          <w:lang w:val="sk-SK"/>
        </w:rPr>
        <w:t>rastúcim verejným tlakom</w:t>
      </w:r>
      <w:r w:rsidR="00152CDC">
        <w:rPr>
          <w:lang w:val="sk-SK"/>
        </w:rPr>
        <w:t xml:space="preserve"> vo vymedzených problémových oblastiach.</w:t>
      </w:r>
    </w:p>
    <w:p w14:paraId="58C1854B" w14:textId="77777777" w:rsidR="00AD549D" w:rsidRDefault="00AD549D" w:rsidP="00FB1D7F">
      <w:pPr>
        <w:pStyle w:val="Odsekzoznamu"/>
        <w:ind w:left="0"/>
        <w:jc w:val="both"/>
        <w:rPr>
          <w:highlight w:val="yellow"/>
          <w:lang w:val="sk-SK"/>
        </w:rPr>
      </w:pPr>
    </w:p>
    <w:p w14:paraId="3F6C9E2C" w14:textId="2F687AF4" w:rsidR="00AD549D" w:rsidRPr="00A37B0D" w:rsidRDefault="00AD549D" w:rsidP="00FB1D7F">
      <w:pPr>
        <w:pStyle w:val="Odsekzoznamu"/>
        <w:ind w:left="0"/>
        <w:jc w:val="both"/>
        <w:rPr>
          <w:lang w:val="sk-SK"/>
        </w:rPr>
      </w:pPr>
      <w:r w:rsidRPr="00A37B0D">
        <w:rPr>
          <w:lang w:val="sk-SK"/>
        </w:rPr>
        <w:t>Kľúčovými agendami a službami, pri ktorých je očakávaný významný progres sú:</w:t>
      </w:r>
    </w:p>
    <w:p w14:paraId="7D2CE4B7" w14:textId="3622673B" w:rsidR="00152CDC" w:rsidRPr="00A37B0D" w:rsidRDefault="00C21EED" w:rsidP="00C21EED">
      <w:pPr>
        <w:pStyle w:val="Odsekzoznamu"/>
        <w:numPr>
          <w:ilvl w:val="0"/>
          <w:numId w:val="36"/>
        </w:numPr>
        <w:spacing w:before="120" w:after="120"/>
        <w:jc w:val="both"/>
        <w:rPr>
          <w:lang w:val="sk-SK"/>
        </w:rPr>
      </w:pPr>
      <w:r w:rsidRPr="00A37B0D">
        <w:rPr>
          <w:lang w:val="sk-SK"/>
        </w:rPr>
        <w:t>ukončeni</w:t>
      </w:r>
      <w:r w:rsidR="00152CDC" w:rsidRPr="00A37B0D">
        <w:rPr>
          <w:lang w:val="sk-SK"/>
        </w:rPr>
        <w:t>e</w:t>
      </w:r>
      <w:r w:rsidRPr="00A37B0D">
        <w:rPr>
          <w:lang w:val="sk-SK"/>
        </w:rPr>
        <w:t xml:space="preserve"> reštitučných konaní, </w:t>
      </w:r>
    </w:p>
    <w:p w14:paraId="5994078D" w14:textId="66B1C49D" w:rsidR="00152CDC" w:rsidRPr="00A37B0D" w:rsidRDefault="00C21EED" w:rsidP="00C21EED">
      <w:pPr>
        <w:pStyle w:val="Odsekzoznamu"/>
        <w:numPr>
          <w:ilvl w:val="0"/>
          <w:numId w:val="36"/>
        </w:numPr>
        <w:spacing w:before="120" w:after="120"/>
        <w:jc w:val="both"/>
        <w:rPr>
          <w:lang w:val="sk-SK"/>
        </w:rPr>
      </w:pPr>
      <w:r w:rsidRPr="00A37B0D">
        <w:rPr>
          <w:lang w:val="sk-SK"/>
        </w:rPr>
        <w:t>vysporiadan</w:t>
      </w:r>
      <w:r w:rsidR="00152CDC" w:rsidRPr="00A37B0D">
        <w:rPr>
          <w:lang w:val="sk-SK"/>
        </w:rPr>
        <w:t>ie</w:t>
      </w:r>
      <w:r w:rsidRPr="00A37B0D">
        <w:rPr>
          <w:lang w:val="sk-SK"/>
        </w:rPr>
        <w:t xml:space="preserve"> vlastníckych vzťahov k pozemkom a v tejto súvislosti náprave zrejmých krívd z</w:t>
      </w:r>
      <w:r w:rsidR="00152CDC" w:rsidRPr="00A37B0D">
        <w:rPr>
          <w:lang w:val="sk-SK"/>
        </w:rPr>
        <w:t> </w:t>
      </w:r>
      <w:r w:rsidRPr="00A37B0D">
        <w:rPr>
          <w:lang w:val="sk-SK"/>
        </w:rPr>
        <w:t>histórie</w:t>
      </w:r>
      <w:r w:rsidR="00152CDC" w:rsidRPr="00A37B0D">
        <w:rPr>
          <w:lang w:val="sk-SK"/>
        </w:rPr>
        <w:t>,</w:t>
      </w:r>
    </w:p>
    <w:p w14:paraId="7858AB13" w14:textId="7A393D84" w:rsidR="00E751F9" w:rsidRDefault="00C21EED" w:rsidP="00A37B0D">
      <w:pPr>
        <w:spacing w:before="120" w:after="120"/>
        <w:ind w:left="360"/>
        <w:jc w:val="both"/>
        <w:rPr>
          <w:lang w:val="sk-SK"/>
        </w:rPr>
      </w:pPr>
      <w:r w:rsidRPr="00A37B0D">
        <w:rPr>
          <w:lang w:val="sk-SK"/>
        </w:rPr>
        <w:t>Nápor na činnosti týchto agend nie je rovnomerný jednak z časového hľadiska a jednak z geografického hľadiska. Ide o osobitné problémy týkajúce sa reštitúcií ako</w:t>
      </w:r>
      <w:r w:rsidR="00152CDC" w:rsidRPr="00A37B0D">
        <w:rPr>
          <w:lang w:val="sk-SK"/>
        </w:rPr>
        <w:t> </w:t>
      </w:r>
      <w:r w:rsidRPr="00A37B0D">
        <w:rPr>
          <w:lang w:val="sk-SK"/>
        </w:rPr>
        <w:t>napr. v bývalom Vojenskom obvode Javorina, vysporiadanie právnych vzťahov k</w:t>
      </w:r>
      <w:r w:rsidR="00152CDC" w:rsidRPr="00A37B0D">
        <w:rPr>
          <w:lang w:val="sk-SK"/>
        </w:rPr>
        <w:t> </w:t>
      </w:r>
      <w:r w:rsidRPr="00A37B0D">
        <w:rPr>
          <w:lang w:val="sk-SK"/>
        </w:rPr>
        <w:t>pozemkom v obciach s prítomnosťou marginalizovaných rómskych komunít, či líniové stavby, ktorých špecifikom je nárazovosť spojená s veľkým množstvom dokumentácie a podobne.</w:t>
      </w:r>
    </w:p>
    <w:p w14:paraId="0349BDF7" w14:textId="77777777" w:rsidR="007C22CE" w:rsidRPr="00747A30" w:rsidRDefault="007C22CE" w:rsidP="00FB1D7F">
      <w:pPr>
        <w:pStyle w:val="Odsekzoznamu"/>
        <w:ind w:left="0"/>
        <w:jc w:val="both"/>
        <w:rPr>
          <w:lang w:val="sk-SK"/>
        </w:rPr>
      </w:pPr>
    </w:p>
    <w:p w14:paraId="58D2DFD4" w14:textId="7E8735D6" w:rsidR="00E24719" w:rsidRDefault="00E24719" w:rsidP="00E24719">
      <w:pPr>
        <w:pStyle w:val="Odsekzoznamu"/>
        <w:numPr>
          <w:ilvl w:val="1"/>
          <w:numId w:val="31"/>
        </w:numPr>
        <w:tabs>
          <w:tab w:val="left" w:pos="567"/>
        </w:tabs>
        <w:ind w:left="567" w:hanging="283"/>
        <w:jc w:val="both"/>
        <w:rPr>
          <w:lang w:val="sk-SK"/>
        </w:rPr>
      </w:pPr>
      <w:r w:rsidRPr="00747A30">
        <w:rPr>
          <w:lang w:val="sk-SK"/>
        </w:rPr>
        <w:t>Popíšte administratívnu, finančnú a prevádzkovú kapacitu žiadateľa a partnera (v prípade, že v projekte je zapojený aj partner)</w:t>
      </w:r>
    </w:p>
    <w:p w14:paraId="24294336" w14:textId="77777777" w:rsidR="00E751F9" w:rsidRPr="00747A30" w:rsidRDefault="00E751F9" w:rsidP="00E751F9">
      <w:pPr>
        <w:pStyle w:val="Odsekzoznamu"/>
        <w:tabs>
          <w:tab w:val="left" w:pos="567"/>
        </w:tabs>
        <w:ind w:left="567"/>
        <w:jc w:val="both"/>
        <w:rPr>
          <w:lang w:val="sk-SK"/>
        </w:rPr>
      </w:pPr>
    </w:p>
    <w:p w14:paraId="4D899851" w14:textId="77777777" w:rsidR="00585786" w:rsidRPr="00747A30" w:rsidRDefault="00585786" w:rsidP="00FB1D7F">
      <w:pPr>
        <w:jc w:val="both"/>
        <w:rPr>
          <w:lang w:val="sk-SK"/>
        </w:rPr>
      </w:pPr>
      <w:r w:rsidRPr="00747A30">
        <w:rPr>
          <w:lang w:val="sk-SK"/>
        </w:rPr>
        <w:t>Riadenie projektu bude zabezpečené vlastnými personálnymi kapacitami žiadateľa so znalosťami a praktickými skúsenosťami s realizáciou projektov financovaných z EÚ. Členovia projektového tímu sa budú vzájomne pravidelne informovať o stave a priebehu projektu v každej oblasti, čím sa zabezpečí promptná zastupiteľnosť v prípade neprítomnosti projektového alebo finančného manažéra na pracovisku a súčasne bezproblémová implementácia projektu.</w:t>
      </w:r>
    </w:p>
    <w:p w14:paraId="2CE1B989" w14:textId="4980F555" w:rsidR="00E24719" w:rsidRDefault="00585786" w:rsidP="00FB1D7F">
      <w:pPr>
        <w:jc w:val="both"/>
        <w:rPr>
          <w:lang w:val="sk-SK"/>
        </w:rPr>
      </w:pPr>
      <w:r w:rsidRPr="00747A30">
        <w:rPr>
          <w:lang w:val="sk-SK"/>
        </w:rPr>
        <w:t xml:space="preserve">Hlavné aktivity projektu budú zabezpečované interným personálom žiadateľa pracujúcim na TPP s dostatočnými znalosťami z fungovania </w:t>
      </w:r>
      <w:r w:rsidR="00AD549D">
        <w:rPr>
          <w:lang w:val="sk-SK"/>
        </w:rPr>
        <w:t xml:space="preserve">služieb </w:t>
      </w:r>
      <w:r w:rsidRPr="00747A30">
        <w:rPr>
          <w:lang w:val="sk-SK"/>
        </w:rPr>
        <w:t>verejnej správy v danej oblasti, ktorí  v prevažnej miere pracujú na relevantných pozíciách už viac rokov.</w:t>
      </w:r>
    </w:p>
    <w:p w14:paraId="1898234F" w14:textId="3CED35C6" w:rsidR="00362269" w:rsidRDefault="00362269" w:rsidP="00362269">
      <w:pPr>
        <w:jc w:val="both"/>
        <w:rPr>
          <w:lang w:val="sk-SK"/>
        </w:rPr>
      </w:pPr>
      <w:r w:rsidRPr="00362269">
        <w:rPr>
          <w:lang w:val="sk-SK"/>
        </w:rPr>
        <w:t>Spotrebný tovar a materiál, určený pre potreby administrácie, riadenia, implementácie, koordinácie a podporných aktivít NP</w:t>
      </w:r>
      <w:r>
        <w:rPr>
          <w:lang w:val="sk-SK"/>
        </w:rPr>
        <w:t xml:space="preserve">, taktiež </w:t>
      </w:r>
      <w:r w:rsidRPr="00362269">
        <w:rPr>
          <w:lang w:val="sk-SK"/>
        </w:rPr>
        <w:t>technologické</w:t>
      </w:r>
      <w:r>
        <w:rPr>
          <w:lang w:val="sk-SK"/>
        </w:rPr>
        <w:t xml:space="preserve"> zariadenia</w:t>
      </w:r>
      <w:r w:rsidRPr="00362269">
        <w:rPr>
          <w:lang w:val="sk-SK"/>
        </w:rPr>
        <w:t xml:space="preserve"> a</w:t>
      </w:r>
      <w:r>
        <w:rPr>
          <w:lang w:val="sk-SK"/>
        </w:rPr>
        <w:t xml:space="preserve"> podpora</w:t>
      </w:r>
      <w:r w:rsidRPr="00362269">
        <w:rPr>
          <w:lang w:val="sk-SK"/>
        </w:rPr>
        <w:t xml:space="preserve"> technické</w:t>
      </w:r>
      <w:r>
        <w:rPr>
          <w:lang w:val="sk-SK"/>
        </w:rPr>
        <w:t>ho</w:t>
      </w:r>
      <w:r w:rsidRPr="00362269">
        <w:rPr>
          <w:lang w:val="sk-SK"/>
        </w:rPr>
        <w:t xml:space="preserve"> zázemi</w:t>
      </w:r>
      <w:r>
        <w:rPr>
          <w:lang w:val="sk-SK"/>
        </w:rPr>
        <w:t>a</w:t>
      </w:r>
      <w:r w:rsidRPr="00362269">
        <w:rPr>
          <w:lang w:val="sk-SK"/>
        </w:rPr>
        <w:t xml:space="preserve"> </w:t>
      </w:r>
      <w:r>
        <w:rPr>
          <w:lang w:val="sk-SK"/>
        </w:rPr>
        <w:t xml:space="preserve">pre špecializované odbory </w:t>
      </w:r>
      <w:r w:rsidRPr="00362269">
        <w:rPr>
          <w:lang w:val="sk-SK"/>
        </w:rPr>
        <w:t>bude hraden</w:t>
      </w:r>
      <w:r>
        <w:rPr>
          <w:lang w:val="sk-SK"/>
        </w:rPr>
        <w:t>á</w:t>
      </w:r>
      <w:r w:rsidRPr="00362269">
        <w:rPr>
          <w:lang w:val="sk-SK"/>
        </w:rPr>
        <w:t xml:space="preserve"> z projektu. (v rámci prevádzkových nákladov paušálnej sadzby).</w:t>
      </w:r>
    </w:p>
    <w:p w14:paraId="0B948F01" w14:textId="77777777" w:rsidR="004759BD" w:rsidRPr="00747A30" w:rsidRDefault="004759BD" w:rsidP="00FB1D7F">
      <w:pPr>
        <w:jc w:val="both"/>
        <w:rPr>
          <w:lang w:val="sk-SK"/>
        </w:rPr>
      </w:pPr>
    </w:p>
    <w:p w14:paraId="6A97775C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747A30">
        <w:rPr>
          <w:lang w:val="sk-SK"/>
        </w:rPr>
        <w:t>Vysvetlite hlavné ciele NP (stručne):</w:t>
      </w:r>
    </w:p>
    <w:p w14:paraId="4FCB0646" w14:textId="5D3EC186" w:rsidR="00E24719" w:rsidRDefault="00E24719" w:rsidP="00E24719">
      <w:pPr>
        <w:ind w:left="284" w:firstLine="16"/>
        <w:jc w:val="both"/>
        <w:rPr>
          <w:i/>
          <w:lang w:val="sk-SK"/>
        </w:rPr>
      </w:pPr>
      <w:r w:rsidRPr="00747A30">
        <w:rPr>
          <w:i/>
          <w:lang w:val="sk-SK"/>
        </w:rPr>
        <w:t>(</w:t>
      </w:r>
      <w:r w:rsidRPr="00747A30">
        <w:rPr>
          <w:rFonts w:cs="Calibri"/>
          <w:i/>
          <w:lang w:val="sk-SK"/>
        </w:rPr>
        <w:t xml:space="preserve">očakávaný prínos k plneniu strategických dokumentov, k </w:t>
      </w:r>
      <w:proofErr w:type="spellStart"/>
      <w:r w:rsidRPr="00747A30">
        <w:rPr>
          <w:rFonts w:cs="Calibri"/>
          <w:i/>
          <w:lang w:val="sk-SK"/>
        </w:rPr>
        <w:t>socio-ekonomickému</w:t>
      </w:r>
      <w:proofErr w:type="spellEnd"/>
      <w:r w:rsidRPr="00747A30">
        <w:rPr>
          <w:rFonts w:cs="Calibri"/>
          <w:i/>
          <w:lang w:val="sk-SK"/>
        </w:rPr>
        <w:t xml:space="preserve"> rozvoju oblasti pokrytej OP, k dosiahnutiu cieľov a výsledkov príslušnej prioritnej osi/špecifického cieľa</w:t>
      </w:r>
      <w:r w:rsidRPr="00747A30">
        <w:rPr>
          <w:i/>
          <w:lang w:val="sk-SK"/>
        </w:rPr>
        <w:t>)</w:t>
      </w:r>
    </w:p>
    <w:p w14:paraId="4B93194E" w14:textId="77777777" w:rsidR="004759BD" w:rsidRPr="00747A30" w:rsidRDefault="004759BD" w:rsidP="00E24719">
      <w:pPr>
        <w:ind w:left="284" w:firstLine="16"/>
        <w:jc w:val="both"/>
        <w:rPr>
          <w:i/>
          <w:lang w:val="sk-SK"/>
        </w:rPr>
      </w:pPr>
    </w:p>
    <w:p w14:paraId="3ABC7CF4" w14:textId="54D94E06" w:rsidR="00E24719" w:rsidRPr="00747A30" w:rsidRDefault="00A57909" w:rsidP="00A37B0D">
      <w:pPr>
        <w:jc w:val="both"/>
        <w:rPr>
          <w:lang w:val="sk-SK"/>
        </w:rPr>
      </w:pPr>
      <w:r w:rsidRPr="00747A30">
        <w:rPr>
          <w:lang w:val="sk-SK"/>
        </w:rPr>
        <w:t xml:space="preserve">Cieľom projektu je </w:t>
      </w:r>
      <w:r w:rsidR="00345647" w:rsidRPr="00747A30">
        <w:rPr>
          <w:lang w:val="sk-SK"/>
        </w:rPr>
        <w:t>zvýšiť kvalitu poskytovaných služieb</w:t>
      </w:r>
      <w:r w:rsidR="00266E66" w:rsidRPr="00747A30">
        <w:rPr>
          <w:lang w:val="sk-SK"/>
        </w:rPr>
        <w:t xml:space="preserve"> VS </w:t>
      </w:r>
      <w:r w:rsidR="00717B13" w:rsidRPr="00747A30">
        <w:rPr>
          <w:lang w:val="sk-SK"/>
        </w:rPr>
        <w:t xml:space="preserve">s dôrazom na </w:t>
      </w:r>
      <w:proofErr w:type="spellStart"/>
      <w:r w:rsidR="00717B13" w:rsidRPr="00747A30">
        <w:rPr>
          <w:lang w:val="sk-SK"/>
        </w:rPr>
        <w:t>proklientsky</w:t>
      </w:r>
      <w:proofErr w:type="spellEnd"/>
      <w:r w:rsidR="00717B13" w:rsidRPr="00747A30">
        <w:rPr>
          <w:lang w:val="sk-SK"/>
        </w:rPr>
        <w:t xml:space="preserve"> orientovaný prístup k občanovi a k podnikateľským subjektom, a to  prostredníctvom podpory administratívnych kapacít na úseku</w:t>
      </w:r>
      <w:r w:rsidR="00266E66" w:rsidRPr="00747A30">
        <w:rPr>
          <w:lang w:val="sk-SK"/>
        </w:rPr>
        <w:t xml:space="preserve"> </w:t>
      </w:r>
      <w:r w:rsidR="00717B13" w:rsidRPr="00747A30">
        <w:rPr>
          <w:lang w:val="sk-SK"/>
        </w:rPr>
        <w:t xml:space="preserve"> </w:t>
      </w:r>
      <w:r w:rsidR="00266E66" w:rsidRPr="00747A30">
        <w:rPr>
          <w:lang w:val="sk-SK"/>
        </w:rPr>
        <w:t>špecializovaných odborov klientskych pracovísk.</w:t>
      </w:r>
    </w:p>
    <w:p w14:paraId="4C4602BA" w14:textId="4FEC9266" w:rsidR="00717B13" w:rsidRDefault="00266E66">
      <w:pPr>
        <w:jc w:val="both"/>
        <w:rPr>
          <w:lang w:val="sk-SK"/>
        </w:rPr>
      </w:pPr>
      <w:r w:rsidRPr="00747A30">
        <w:rPr>
          <w:lang w:val="sk-SK"/>
        </w:rPr>
        <w:t>Toto skvalitnenie</w:t>
      </w:r>
      <w:r w:rsidR="00731CA5" w:rsidRPr="00747A30">
        <w:rPr>
          <w:lang w:val="sk-SK"/>
        </w:rPr>
        <w:t xml:space="preserve"> </w:t>
      </w:r>
      <w:proofErr w:type="spellStart"/>
      <w:r w:rsidR="00731CA5" w:rsidRPr="00747A30">
        <w:rPr>
          <w:lang w:val="sk-SK"/>
        </w:rPr>
        <w:t>proklientsky</w:t>
      </w:r>
      <w:proofErr w:type="spellEnd"/>
      <w:r w:rsidR="00731CA5" w:rsidRPr="00747A30">
        <w:rPr>
          <w:lang w:val="sk-SK"/>
        </w:rPr>
        <w:t xml:space="preserve"> orientovaných služieb</w:t>
      </w:r>
      <w:r w:rsidRPr="00747A30">
        <w:rPr>
          <w:lang w:val="sk-SK"/>
        </w:rPr>
        <w:t xml:space="preserve"> </w:t>
      </w:r>
      <w:r w:rsidR="00717B13" w:rsidRPr="00747A30">
        <w:rPr>
          <w:lang w:val="sk-SK"/>
        </w:rPr>
        <w:t>je podmienen</w:t>
      </w:r>
      <w:r w:rsidRPr="00747A30">
        <w:rPr>
          <w:lang w:val="sk-SK"/>
        </w:rPr>
        <w:t>é</w:t>
      </w:r>
      <w:r w:rsidR="00717B13" w:rsidRPr="00747A30">
        <w:rPr>
          <w:lang w:val="sk-SK"/>
        </w:rPr>
        <w:t xml:space="preserve"> stabilizáciou </w:t>
      </w:r>
      <w:r w:rsidR="00731CA5" w:rsidRPr="00747A30">
        <w:rPr>
          <w:lang w:val="sk-SK"/>
        </w:rPr>
        <w:t>a posi</w:t>
      </w:r>
      <w:r w:rsidR="00651988">
        <w:rPr>
          <w:lang w:val="sk-SK"/>
        </w:rPr>
        <w:t>l</w:t>
      </w:r>
      <w:r w:rsidR="00731CA5" w:rsidRPr="00747A30">
        <w:rPr>
          <w:lang w:val="sk-SK"/>
        </w:rPr>
        <w:t xml:space="preserve">nením </w:t>
      </w:r>
      <w:r w:rsidR="00717B13" w:rsidRPr="00747A30">
        <w:rPr>
          <w:lang w:val="sk-SK"/>
        </w:rPr>
        <w:t>administratívnych kapacít</w:t>
      </w:r>
      <w:r w:rsidR="00731CA5" w:rsidRPr="00747A30">
        <w:rPr>
          <w:lang w:val="sk-SK"/>
        </w:rPr>
        <w:t xml:space="preserve"> špecializovaných odborov</w:t>
      </w:r>
      <w:r w:rsidR="00717B13" w:rsidRPr="00747A30">
        <w:rPr>
          <w:lang w:val="sk-SK"/>
        </w:rPr>
        <w:t xml:space="preserve"> klientskych pracovísk, ktor</w:t>
      </w:r>
      <w:r w:rsidR="00731CA5" w:rsidRPr="00747A30">
        <w:rPr>
          <w:lang w:val="sk-SK"/>
        </w:rPr>
        <w:t>ým sa zabezpečí</w:t>
      </w:r>
      <w:r w:rsidR="00717B13" w:rsidRPr="00747A30">
        <w:rPr>
          <w:lang w:val="sk-SK"/>
        </w:rPr>
        <w:t xml:space="preserve"> odborný, praxou podložený a zároveň flexibilný prístup zamestnancov ku klientom (občanom a podnikateľom).</w:t>
      </w:r>
    </w:p>
    <w:p w14:paraId="1766916B" w14:textId="77777777" w:rsidR="00B66DE4" w:rsidRDefault="00B66DE4" w:rsidP="00717B13">
      <w:pPr>
        <w:jc w:val="both"/>
        <w:rPr>
          <w:lang w:val="sk-SK"/>
        </w:rPr>
      </w:pPr>
    </w:p>
    <w:p w14:paraId="3FDBDEE8" w14:textId="7C3200DD" w:rsidR="00313CCA" w:rsidRDefault="00313CCA" w:rsidP="00313CCA">
      <w:pPr>
        <w:jc w:val="both"/>
        <w:rPr>
          <w:lang w:val="sk-SK"/>
        </w:rPr>
      </w:pPr>
      <w:r>
        <w:rPr>
          <w:lang w:val="sk-SK"/>
        </w:rPr>
        <w:t>Predmetný projektový zámer je zacielený na podporu tých odborov okresných úradov, ktoré sú na základe dostupných dát (</w:t>
      </w:r>
      <w:r w:rsidR="00041A27">
        <w:rPr>
          <w:lang w:val="sk-SK"/>
        </w:rPr>
        <w:t>napr.</w:t>
      </w:r>
      <w:r>
        <w:rPr>
          <w:lang w:val="sk-SK"/>
        </w:rPr>
        <w:t xml:space="preserve"> WRKN</w:t>
      </w:r>
      <w:r w:rsidR="00041A27">
        <w:rPr>
          <w:lang w:val="sk-SK"/>
        </w:rPr>
        <w:t>..</w:t>
      </w:r>
      <w:r>
        <w:rPr>
          <w:lang w:val="sk-SK"/>
        </w:rPr>
        <w:t xml:space="preserve"> ) vyhodnotené ako najexponovanejšie a občanmi najvyhľadávanejšie. </w:t>
      </w:r>
    </w:p>
    <w:p w14:paraId="48749D9F" w14:textId="77777777" w:rsidR="00313CCA" w:rsidRDefault="00313CCA" w:rsidP="00313CCA">
      <w:pPr>
        <w:jc w:val="both"/>
        <w:rPr>
          <w:lang w:val="sk-SK"/>
        </w:rPr>
      </w:pPr>
    </w:p>
    <w:p w14:paraId="162E75C2" w14:textId="3241D3DC" w:rsidR="00D02DA3" w:rsidRDefault="00313CCA" w:rsidP="00313CCA">
      <w:pPr>
        <w:jc w:val="both"/>
        <w:rPr>
          <w:lang w:val="sk-SK"/>
        </w:rPr>
      </w:pPr>
      <w:r>
        <w:rPr>
          <w:lang w:val="sk-SK"/>
        </w:rPr>
        <w:t xml:space="preserve">Pri výbere agend boli zohľadnené viaceré faktory, ako je vyťaženosť, lehoty a dĺžka vybavenia, nárazovosť práce z geografického aspektu, personálne kapacity a zabezpečenie a pod. Záverom je skutočnosť, že výsledok vplyvu uvedených faktorov pociťujú primárne občania v kvalite </w:t>
      </w:r>
      <w:r w:rsidR="00AD549D">
        <w:rPr>
          <w:lang w:val="sk-SK"/>
        </w:rPr>
        <w:t xml:space="preserve">konkrétnej </w:t>
      </w:r>
      <w:r>
        <w:rPr>
          <w:lang w:val="sk-SK"/>
        </w:rPr>
        <w:t>poskytnutej služby.</w:t>
      </w:r>
    </w:p>
    <w:p w14:paraId="1F57787D" w14:textId="77777777" w:rsidR="00313CCA" w:rsidRDefault="00313CCA" w:rsidP="00313CCA">
      <w:pPr>
        <w:jc w:val="both"/>
        <w:rPr>
          <w:lang w:val="sk-SK"/>
        </w:rPr>
      </w:pPr>
    </w:p>
    <w:p w14:paraId="0B23E561" w14:textId="07873A7C" w:rsidR="00AD549D" w:rsidRDefault="00313CCA" w:rsidP="00313CCA">
      <w:pPr>
        <w:pStyle w:val="Odsekzoznamu"/>
        <w:ind w:left="0"/>
        <w:jc w:val="both"/>
        <w:rPr>
          <w:lang w:val="sk-SK"/>
        </w:rPr>
      </w:pPr>
      <w:r>
        <w:rPr>
          <w:lang w:val="sk-SK"/>
        </w:rPr>
        <w:t xml:space="preserve">Realizáciou národného projektu </w:t>
      </w:r>
      <w:r w:rsidR="00AD549D">
        <w:rPr>
          <w:lang w:val="sk-SK"/>
        </w:rPr>
        <w:t xml:space="preserve">sa </w:t>
      </w:r>
      <w:r>
        <w:rPr>
          <w:lang w:val="sk-SK"/>
        </w:rPr>
        <w:t xml:space="preserve">podporí komplexné fungovanie a poskytovanie služieb </w:t>
      </w:r>
      <w:r w:rsidR="00AD549D">
        <w:rPr>
          <w:lang w:val="sk-SK"/>
        </w:rPr>
        <w:t xml:space="preserve">realizovaných </w:t>
      </w:r>
      <w:r w:rsidR="00152CDC">
        <w:rPr>
          <w:lang w:val="sk-SK"/>
        </w:rPr>
        <w:t>jednotlivými OÚ v rámci odborných útvarov</w:t>
      </w:r>
      <w:r w:rsidR="00AD549D">
        <w:rPr>
          <w:lang w:val="sk-SK"/>
        </w:rPr>
        <w:t>:</w:t>
      </w:r>
    </w:p>
    <w:p w14:paraId="423770C5" w14:textId="77777777" w:rsidR="00AD549D" w:rsidRDefault="00313CCA" w:rsidP="00A37B0D">
      <w:pPr>
        <w:pStyle w:val="Odsekzoznamu"/>
        <w:numPr>
          <w:ilvl w:val="0"/>
          <w:numId w:val="37"/>
        </w:numPr>
        <w:jc w:val="both"/>
        <w:rPr>
          <w:lang w:val="sk-SK"/>
        </w:rPr>
      </w:pPr>
      <w:r>
        <w:rPr>
          <w:lang w:val="sk-SK"/>
        </w:rPr>
        <w:t xml:space="preserve">katastrálneho odboru, </w:t>
      </w:r>
    </w:p>
    <w:p w14:paraId="3E19E2BB" w14:textId="77777777" w:rsidR="00AD549D" w:rsidRPr="00F764AD" w:rsidRDefault="00313CCA" w:rsidP="00F764AD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F764AD">
        <w:rPr>
          <w:lang w:val="sk-SK"/>
        </w:rPr>
        <w:t xml:space="preserve">odboru starostlivosti o životné prostredie, </w:t>
      </w:r>
    </w:p>
    <w:p w14:paraId="0580BBA9" w14:textId="77777777" w:rsidR="00AD549D" w:rsidRPr="00F764AD" w:rsidRDefault="00313CCA" w:rsidP="00F764AD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F764AD">
        <w:rPr>
          <w:lang w:val="sk-SK"/>
        </w:rPr>
        <w:t xml:space="preserve">pozemkového a lesného odboru, </w:t>
      </w:r>
    </w:p>
    <w:p w14:paraId="7B2FF544" w14:textId="77777777" w:rsidR="00AD549D" w:rsidRPr="00F764AD" w:rsidRDefault="00313CCA" w:rsidP="00F764AD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F764AD">
        <w:rPr>
          <w:lang w:val="sk-SK"/>
        </w:rPr>
        <w:t>odboru výstavby a bytovej politiky a </w:t>
      </w:r>
    </w:p>
    <w:p w14:paraId="66503330" w14:textId="79E11BCC" w:rsidR="00313CCA" w:rsidRPr="00F764AD" w:rsidRDefault="00313CCA" w:rsidP="00F764AD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F764AD">
        <w:rPr>
          <w:lang w:val="sk-SK"/>
        </w:rPr>
        <w:t xml:space="preserve">odboru reštitúcií pre bývalý vojenský obvod Javorina.  </w:t>
      </w:r>
    </w:p>
    <w:p w14:paraId="4BF4691B" w14:textId="77777777" w:rsidR="00AD549D" w:rsidRDefault="00AD549D" w:rsidP="00313CCA">
      <w:pPr>
        <w:pStyle w:val="Odsekzoznamu"/>
        <w:ind w:left="0"/>
        <w:jc w:val="both"/>
        <w:rPr>
          <w:lang w:val="sk-SK"/>
        </w:rPr>
      </w:pPr>
    </w:p>
    <w:p w14:paraId="3202D0CB" w14:textId="6A740103" w:rsidR="00AD549D" w:rsidRDefault="00313CCA" w:rsidP="00313CCA">
      <w:pPr>
        <w:pStyle w:val="Odsekzoznamu"/>
        <w:ind w:left="0"/>
        <w:jc w:val="both"/>
        <w:rPr>
          <w:lang w:val="sk-SK"/>
        </w:rPr>
      </w:pPr>
      <w:r>
        <w:rPr>
          <w:lang w:val="sk-SK"/>
        </w:rPr>
        <w:t>Parciálnym cieľom projektu je príprava vhodného prostredia na implementovanie vybraných komponentov Plánu obnovy</w:t>
      </w:r>
      <w:r w:rsidR="00C21EED">
        <w:rPr>
          <w:lang w:val="sk-SK"/>
        </w:rPr>
        <w:t xml:space="preserve"> a odolnosti SR</w:t>
      </w:r>
      <w:r w:rsidR="00AD549D">
        <w:rPr>
          <w:lang w:val="sk-SK"/>
        </w:rPr>
        <w:t xml:space="preserve"> ako aj realizáciu politík súdržnosti programových období 2014-2020 a 2021-2027.</w:t>
      </w:r>
    </w:p>
    <w:p w14:paraId="1ED69AE9" w14:textId="0AF5CC57" w:rsidR="00C21EED" w:rsidRDefault="00C21EED" w:rsidP="00A37B0D">
      <w:pPr>
        <w:pStyle w:val="Odsekzoznamu"/>
        <w:ind w:left="0"/>
        <w:jc w:val="both"/>
        <w:rPr>
          <w:lang w:val="sk-SK"/>
        </w:rPr>
      </w:pPr>
      <w:r>
        <w:rPr>
          <w:lang w:val="sk-SK"/>
        </w:rPr>
        <w:t>O</w:t>
      </w:r>
      <w:r w:rsidR="00313CCA">
        <w:rPr>
          <w:lang w:val="sk-SK"/>
        </w:rPr>
        <w:t xml:space="preserve">rientácia </w:t>
      </w:r>
      <w:r>
        <w:rPr>
          <w:lang w:val="sk-SK"/>
        </w:rPr>
        <w:t>na služby týkajúce sa</w:t>
      </w:r>
      <w:r w:rsidR="00313CCA">
        <w:rPr>
          <w:lang w:val="sk-SK"/>
        </w:rPr>
        <w:t xml:space="preserve"> životné</w:t>
      </w:r>
      <w:r>
        <w:rPr>
          <w:lang w:val="sk-SK"/>
        </w:rPr>
        <w:t>ho</w:t>
      </w:r>
      <w:r w:rsidR="00313CCA">
        <w:rPr>
          <w:lang w:val="sk-SK"/>
        </w:rPr>
        <w:t xml:space="preserve"> prostredi</w:t>
      </w:r>
      <w:r>
        <w:rPr>
          <w:lang w:val="sk-SK"/>
        </w:rPr>
        <w:t>a a o</w:t>
      </w:r>
      <w:r w:rsidR="00313CCA">
        <w:rPr>
          <w:lang w:val="sk-SK"/>
        </w:rPr>
        <w:t>chrana životného prostredia je jednou z</w:t>
      </w:r>
      <w:r>
        <w:rPr>
          <w:lang w:val="sk-SK"/>
        </w:rPr>
        <w:t xml:space="preserve"> kľúčových prvkov </w:t>
      </w:r>
      <w:r w:rsidR="00313CCA">
        <w:rPr>
          <w:lang w:val="sk-SK"/>
        </w:rPr>
        <w:t>Programové</w:t>
      </w:r>
      <w:r>
        <w:rPr>
          <w:lang w:val="sk-SK"/>
        </w:rPr>
        <w:t>ho</w:t>
      </w:r>
      <w:r w:rsidR="00313CCA">
        <w:rPr>
          <w:lang w:val="sk-SK"/>
        </w:rPr>
        <w:t xml:space="preserve">  </w:t>
      </w:r>
      <w:r w:rsidR="00313CCA" w:rsidRPr="008F0DC8">
        <w:rPr>
          <w:lang w:val="sk-SK"/>
        </w:rPr>
        <w:t>vyhláseni</w:t>
      </w:r>
      <w:r>
        <w:rPr>
          <w:lang w:val="sk-SK"/>
        </w:rPr>
        <w:t>a</w:t>
      </w:r>
      <w:r w:rsidR="00313CCA" w:rsidRPr="008F0DC8">
        <w:rPr>
          <w:lang w:val="sk-SK"/>
        </w:rPr>
        <w:t xml:space="preserve"> vlády Slovenskej republiky</w:t>
      </w:r>
      <w:r w:rsidR="00313CCA">
        <w:rPr>
          <w:lang w:val="sk-SK"/>
        </w:rPr>
        <w:t xml:space="preserve"> </w:t>
      </w:r>
      <w:r w:rsidR="00313CCA" w:rsidRPr="008F0DC8">
        <w:rPr>
          <w:lang w:val="sk-SK"/>
        </w:rPr>
        <w:t xml:space="preserve">na obdobie rokov 2021 </w:t>
      </w:r>
      <w:r w:rsidR="00313CCA">
        <w:rPr>
          <w:lang w:val="sk-SK"/>
        </w:rPr>
        <w:t>–</w:t>
      </w:r>
      <w:r w:rsidR="00313CCA" w:rsidRPr="008F0DC8">
        <w:rPr>
          <w:lang w:val="sk-SK"/>
        </w:rPr>
        <w:t xml:space="preserve"> 2024</w:t>
      </w:r>
      <w:r>
        <w:rPr>
          <w:lang w:val="sk-SK"/>
        </w:rPr>
        <w:t xml:space="preserve"> ako aj implementačných rámcov Plánu obnovy a odolnosti SR </w:t>
      </w:r>
      <w:r w:rsidR="00313CCA">
        <w:rPr>
          <w:lang w:val="sk-SK"/>
        </w:rPr>
        <w:t xml:space="preserve"> </w:t>
      </w:r>
      <w:r>
        <w:rPr>
          <w:lang w:val="sk-SK"/>
        </w:rPr>
        <w:t xml:space="preserve">a politiky súdržnosti 2021-2027. Rovnako je cieľom v rámci uvedených služieb OÚ prispieť k riešeniu problémov vylúčených komunít (špecificky MRK) a to predovšetkým v hľadaní opatrení, ktoré by napomohli v efektívnejšej realizácii infraštruktúrnych investícií SR a EÚ. </w:t>
      </w:r>
    </w:p>
    <w:p w14:paraId="0535A1B9" w14:textId="2A018F5F" w:rsidR="00313CCA" w:rsidRPr="008F0DC8" w:rsidRDefault="00313CCA" w:rsidP="00A37B0D">
      <w:pPr>
        <w:pStyle w:val="Odsekzoznamu"/>
        <w:ind w:left="0"/>
        <w:jc w:val="both"/>
        <w:rPr>
          <w:lang w:val="sk-SK"/>
        </w:rPr>
      </w:pPr>
      <w:r>
        <w:rPr>
          <w:lang w:val="sk-SK"/>
        </w:rPr>
        <w:t xml:space="preserve">Aj preto je zameranie podpory národného projektu navrhnuté tak, aby prispievalo k hlavným záujmom spoločnosti a pripravilo efektívnejšie prostredie pre nastávajúce procesy. </w:t>
      </w:r>
    </w:p>
    <w:p w14:paraId="5F8F1365" w14:textId="77777777" w:rsidR="00313CCA" w:rsidRPr="00747A30" w:rsidRDefault="00313CCA" w:rsidP="00313CCA">
      <w:pPr>
        <w:jc w:val="both"/>
        <w:rPr>
          <w:lang w:val="sk-SK"/>
        </w:rPr>
      </w:pPr>
    </w:p>
    <w:p w14:paraId="70335551" w14:textId="61598B88" w:rsidR="00D02DA3" w:rsidRDefault="0042404E" w:rsidP="00CB74E6">
      <w:pPr>
        <w:jc w:val="both"/>
        <w:rPr>
          <w:lang w:val="sk-SK"/>
        </w:rPr>
      </w:pPr>
      <w:r>
        <w:rPr>
          <w:lang w:val="sk-SK"/>
        </w:rPr>
        <w:t>Posilnením výkonu vyššie uvedených agend</w:t>
      </w:r>
      <w:r w:rsidR="00152CDC">
        <w:rPr>
          <w:lang w:val="sk-SK"/>
        </w:rPr>
        <w:t>ových útvarov OÚ</w:t>
      </w:r>
      <w:r>
        <w:rPr>
          <w:lang w:val="sk-SK"/>
        </w:rPr>
        <w:t xml:space="preserve"> predpokladáme urýchlenie mnohý</w:t>
      </w:r>
      <w:r w:rsidR="00B8587F">
        <w:rPr>
          <w:lang w:val="sk-SK"/>
        </w:rPr>
        <w:t>ch procesov a najmä podporenie analyzovaných nedostatkov:</w:t>
      </w:r>
    </w:p>
    <w:p w14:paraId="38520265" w14:textId="59487893" w:rsidR="003B2ABD" w:rsidRDefault="00B8587F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o</w:t>
      </w:r>
      <w:r w:rsidR="003B2ABD">
        <w:rPr>
          <w:lang w:val="sk-SK"/>
        </w:rPr>
        <w:t>chran</w:t>
      </w:r>
      <w:r>
        <w:rPr>
          <w:lang w:val="sk-SK"/>
        </w:rPr>
        <w:t>u</w:t>
      </w:r>
      <w:r w:rsidR="003B2ABD">
        <w:rPr>
          <w:lang w:val="sk-SK"/>
        </w:rPr>
        <w:t xml:space="preserve"> prírody a</w:t>
      </w:r>
      <w:r>
        <w:rPr>
          <w:lang w:val="sk-SK"/>
        </w:rPr>
        <w:t> </w:t>
      </w:r>
      <w:r w:rsidR="003B2ABD">
        <w:rPr>
          <w:lang w:val="sk-SK"/>
        </w:rPr>
        <w:t>krajiny</w:t>
      </w:r>
      <w:r>
        <w:rPr>
          <w:lang w:val="sk-SK"/>
        </w:rPr>
        <w:t>, ktorá</w:t>
      </w:r>
      <w:r w:rsidR="003B2ABD">
        <w:rPr>
          <w:lang w:val="sk-SK"/>
        </w:rPr>
        <w:t xml:space="preserve"> je z pohľadu EÚ na prvých miestach z hľadiska významnosti (hrozia žaloby za nedostatočnú ochranu)</w:t>
      </w:r>
      <w:r w:rsidR="00880A2F">
        <w:rPr>
          <w:lang w:val="sk-SK"/>
        </w:rPr>
        <w:t>;</w:t>
      </w:r>
      <w:r w:rsidR="003B2ABD">
        <w:rPr>
          <w:lang w:val="sk-SK"/>
        </w:rPr>
        <w:t xml:space="preserve"> </w:t>
      </w:r>
    </w:p>
    <w:p w14:paraId="4465C404" w14:textId="4C4673FF" w:rsidR="003B2ABD" w:rsidRDefault="003B2ABD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 xml:space="preserve">z dôvodu </w:t>
      </w:r>
      <w:r w:rsidR="009D4B5A">
        <w:rPr>
          <w:lang w:val="sk-SK"/>
        </w:rPr>
        <w:t>množstva</w:t>
      </w:r>
      <w:r>
        <w:rPr>
          <w:lang w:val="sk-SK"/>
        </w:rPr>
        <w:t xml:space="preserve"> každodennej agendy sú odsúvané činnosti zamerané na schvaľovanie programov starostlivosti, záchrany, ochrany ŽP</w:t>
      </w:r>
      <w:r w:rsidR="00880A2F">
        <w:rPr>
          <w:lang w:val="sk-SK"/>
        </w:rPr>
        <w:t>;</w:t>
      </w:r>
      <w:r>
        <w:rPr>
          <w:lang w:val="sk-SK"/>
        </w:rPr>
        <w:t xml:space="preserve"> </w:t>
      </w:r>
    </w:p>
    <w:p w14:paraId="4D087F2D" w14:textId="2AFBC25F" w:rsidR="003B2ABD" w:rsidRDefault="003B2ABD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legislatívne zmeny (úseky ochrany prírody a</w:t>
      </w:r>
      <w:r w:rsidR="009D4B5A">
        <w:rPr>
          <w:lang w:val="sk-SK"/>
        </w:rPr>
        <w:t> </w:t>
      </w:r>
      <w:r>
        <w:rPr>
          <w:lang w:val="sk-SK"/>
        </w:rPr>
        <w:t>krajiny</w:t>
      </w:r>
      <w:r w:rsidR="009D4B5A">
        <w:rPr>
          <w:lang w:val="sk-SK"/>
        </w:rPr>
        <w:t xml:space="preserve">, </w:t>
      </w:r>
      <w:r w:rsidR="00E81C2B">
        <w:rPr>
          <w:lang w:val="sk-SK"/>
        </w:rPr>
        <w:t xml:space="preserve">environmentálne záťaže, </w:t>
      </w:r>
      <w:r w:rsidR="009D4B5A">
        <w:rPr>
          <w:lang w:val="sk-SK"/>
        </w:rPr>
        <w:t>nový zákon o rybárstve, náhodné ťažby a výruby v extravilánoch, úsek orgánu štátnej vodnej správy, úsek štátnej správy ochrany ovzdušia</w:t>
      </w:r>
      <w:r w:rsidR="00287328">
        <w:rPr>
          <w:lang w:val="sk-SK"/>
        </w:rPr>
        <w:t>, úsek odpadového hospodárstva</w:t>
      </w:r>
      <w:r w:rsidR="009D4B5A">
        <w:rPr>
          <w:lang w:val="sk-SK"/>
        </w:rPr>
        <w:t xml:space="preserve"> a pod.</w:t>
      </w:r>
      <w:r w:rsidR="00770509">
        <w:rPr>
          <w:lang w:val="sk-SK"/>
        </w:rPr>
        <w:t xml:space="preserve"> – aj v súvislosti s implementáciou európskej legislatívy/napr. </w:t>
      </w:r>
      <w:proofErr w:type="spellStart"/>
      <w:r w:rsidR="00770509">
        <w:rPr>
          <w:lang w:val="sk-SK"/>
        </w:rPr>
        <w:t>Aarhuský</w:t>
      </w:r>
      <w:proofErr w:type="spellEnd"/>
      <w:r w:rsidR="00770509">
        <w:rPr>
          <w:lang w:val="sk-SK"/>
        </w:rPr>
        <w:t xml:space="preserve"> dohovor do národnej legislatívy</w:t>
      </w:r>
      <w:r>
        <w:rPr>
          <w:lang w:val="sk-SK"/>
        </w:rPr>
        <w:t>) za posledn</w:t>
      </w:r>
      <w:r w:rsidR="004E30EF">
        <w:rPr>
          <w:lang w:val="sk-SK"/>
        </w:rPr>
        <w:t xml:space="preserve">ých 10 rokov </w:t>
      </w:r>
      <w:r>
        <w:rPr>
          <w:lang w:val="sk-SK"/>
        </w:rPr>
        <w:t xml:space="preserve">znamenajú </w:t>
      </w:r>
      <w:r w:rsidR="004E30EF">
        <w:rPr>
          <w:lang w:val="sk-SK"/>
        </w:rPr>
        <w:t xml:space="preserve">enormný </w:t>
      </w:r>
      <w:r>
        <w:rPr>
          <w:lang w:val="sk-SK"/>
        </w:rPr>
        <w:t xml:space="preserve">nárast agendy a nové povinnosti </w:t>
      </w:r>
      <w:r w:rsidR="00880A2F">
        <w:rPr>
          <w:lang w:val="sk-SK"/>
        </w:rPr>
        <w:t xml:space="preserve">a kompetencie </w:t>
      </w:r>
      <w:r w:rsidR="009D4B5A">
        <w:rPr>
          <w:lang w:val="sk-SK"/>
        </w:rPr>
        <w:t>zamestnancov</w:t>
      </w:r>
      <w:r w:rsidR="00880A2F">
        <w:rPr>
          <w:lang w:val="sk-SK"/>
        </w:rPr>
        <w:t>;</w:t>
      </w:r>
    </w:p>
    <w:p w14:paraId="58019707" w14:textId="45DCDA40" w:rsidR="003B2ABD" w:rsidRDefault="00392546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nárast agendy v súvislosti s aktivitami podnikateľov, nárastom investičnej výstavby pri vydávaní súhlasov, rozhodnutí, stavebných povolení, kolaudačných rozhodnutí a pod.</w:t>
      </w:r>
      <w:r w:rsidR="00880A2F">
        <w:rPr>
          <w:lang w:val="sk-SK"/>
        </w:rPr>
        <w:t>;</w:t>
      </w:r>
    </w:p>
    <w:p w14:paraId="54AF2090" w14:textId="44AD9035" w:rsidR="00B8587F" w:rsidRDefault="00B8587F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množstvo agendy každoročne kontinuálne narastá</w:t>
      </w:r>
      <w:r w:rsidR="00880A2F">
        <w:rPr>
          <w:lang w:val="sk-SK"/>
        </w:rPr>
        <w:t>;</w:t>
      </w:r>
    </w:p>
    <w:p w14:paraId="3422DAAD" w14:textId="05A14959" w:rsidR="00B8587F" w:rsidRDefault="006D1476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 xml:space="preserve">na úseku katastra, </w:t>
      </w:r>
      <w:r w:rsidRPr="006D1476">
        <w:rPr>
          <w:lang w:val="sk-SK"/>
        </w:rPr>
        <w:t>rozhodovanie o vkladoch a overovanie geometrických plánov môžu vykonávať len zamestnanci s právnickým alebo geodetickým vzdelaním a po vykonaní odbornej skúšky.</w:t>
      </w:r>
      <w:r>
        <w:rPr>
          <w:lang w:val="sk-SK"/>
        </w:rPr>
        <w:t xml:space="preserve"> </w:t>
      </w:r>
      <w:r w:rsidRPr="006D1476">
        <w:rPr>
          <w:lang w:val="sk-SK"/>
        </w:rPr>
        <w:t>Náp</w:t>
      </w:r>
      <w:r>
        <w:rPr>
          <w:lang w:val="sk-SK"/>
        </w:rPr>
        <w:t xml:space="preserve">or </w:t>
      </w:r>
      <w:r w:rsidRPr="006D1476">
        <w:rPr>
          <w:lang w:val="sk-SK"/>
        </w:rPr>
        <w:t xml:space="preserve">agendy na tieto činnosti nie je rovnomerný jednak z časového hľadiska a </w:t>
      </w:r>
      <w:r>
        <w:rPr>
          <w:lang w:val="sk-SK"/>
        </w:rPr>
        <w:t>jednak z geografického hľadiska;</w:t>
      </w:r>
    </w:p>
    <w:p w14:paraId="178788BE" w14:textId="20B8A726" w:rsidR="00DB4E05" w:rsidRPr="004E1CD2" w:rsidRDefault="00DB4E05" w:rsidP="00CB74E6">
      <w:pPr>
        <w:pStyle w:val="Odsekzoznamu"/>
        <w:numPr>
          <w:ilvl w:val="0"/>
          <w:numId w:val="34"/>
        </w:numPr>
        <w:jc w:val="both"/>
        <w:rPr>
          <w:b/>
          <w:color w:val="FF0000"/>
          <w:lang w:val="sk-SK"/>
        </w:rPr>
      </w:pPr>
      <w:r>
        <w:rPr>
          <w:lang w:val="sk-SK"/>
        </w:rPr>
        <w:t xml:space="preserve">rozdrobenosť vlastníctva, </w:t>
      </w:r>
      <w:r w:rsidRPr="00DB4E05">
        <w:rPr>
          <w:lang w:val="sk-SK"/>
        </w:rPr>
        <w:t xml:space="preserve">ktorá </w:t>
      </w:r>
      <w:r w:rsidR="00D006D9">
        <w:rPr>
          <w:lang w:val="sk-SK"/>
        </w:rPr>
        <w:t>dlhodobo</w:t>
      </w:r>
      <w:r w:rsidRPr="00DB4E05">
        <w:rPr>
          <w:lang w:val="sk-SK"/>
        </w:rPr>
        <w:t xml:space="preserve"> sťažuje, prípadne vylučuje ich racionálnu evidenciu, prijímanie vlastníckych rozhodnutí i rozhodovanie orgánov verejnej správy, vznik zmluvných právnych pomerov medzi vlastníkmi a  užívateľmi, ako aj vytváranie racionálnych hospodárskych celkov ale aj realizáciu investičných zámerov;</w:t>
      </w:r>
    </w:p>
    <w:p w14:paraId="07925FCD" w14:textId="0F9D5274" w:rsidR="00D32C71" w:rsidRPr="00D32C71" w:rsidRDefault="0023308D" w:rsidP="00D32C71">
      <w:pPr>
        <w:pStyle w:val="Odsekzoznamu"/>
        <w:numPr>
          <w:ilvl w:val="0"/>
          <w:numId w:val="34"/>
        </w:numPr>
        <w:jc w:val="both"/>
        <w:rPr>
          <w:lang w:val="sk-SK"/>
        </w:rPr>
      </w:pPr>
      <w:r w:rsidRPr="00D32C71">
        <w:rPr>
          <w:lang w:val="sk-SK"/>
        </w:rPr>
        <w:t xml:space="preserve">dlhodobý problém sa objavuje najmä vo veľkých mestách v oblasti </w:t>
      </w:r>
      <w:r w:rsidR="00E936B3" w:rsidRPr="00D32C71">
        <w:rPr>
          <w:lang w:val="sk-SK"/>
        </w:rPr>
        <w:t xml:space="preserve">tzv. </w:t>
      </w:r>
      <w:r w:rsidRPr="00D32C71">
        <w:rPr>
          <w:lang w:val="sk-SK"/>
        </w:rPr>
        <w:t>reštitúcií</w:t>
      </w:r>
      <w:r w:rsidR="00E936B3" w:rsidRPr="00D32C71">
        <w:rPr>
          <w:lang w:val="sk-SK"/>
        </w:rPr>
        <w:t xml:space="preserve"> (majetkové krivdy ku ktorým došlo vo vzťahu k vlastníkom poľnohospodárskeho a lesného majetku v období rokov 1948 až 1989)</w:t>
      </w:r>
      <w:r w:rsidRPr="00D32C71">
        <w:rPr>
          <w:lang w:val="sk-SK"/>
        </w:rPr>
        <w:t xml:space="preserve">, kde je nápor agendy najväčší. Osobitným problémom je bývalý vojenský obvod Javorina, kde je počet </w:t>
      </w:r>
      <w:proofErr w:type="spellStart"/>
      <w:r w:rsidRPr="00D32C71">
        <w:rPr>
          <w:lang w:val="sk-SK"/>
        </w:rPr>
        <w:t>nevysporiadaných</w:t>
      </w:r>
      <w:proofErr w:type="spellEnd"/>
      <w:r w:rsidRPr="00D32C71">
        <w:rPr>
          <w:lang w:val="sk-SK"/>
        </w:rPr>
        <w:t xml:space="preserve"> reštitučných nárokov tiež mimoriadne veľký</w:t>
      </w:r>
      <w:r w:rsidR="00D32C71" w:rsidRPr="00D32C71">
        <w:rPr>
          <w:lang w:val="sk-SK"/>
        </w:rPr>
        <w:t xml:space="preserve"> (pre informáciu vydávanie rozhodnutí je procedurálne komplikovaný proces a celkový počet neukončených reštitučných nárokov predstavuje viac ako 2000, čo znamená </w:t>
      </w:r>
      <w:r w:rsidR="00D32C71" w:rsidRPr="00D32C71">
        <w:rPr>
          <w:lang w:val="sk-SK"/>
        </w:rPr>
        <w:lastRenderedPageBreak/>
        <w:t>prácu na niekoľko ďalších rokov, je objektívne požadovaná podpora cca 10-12 nových pracovných miest pre OÚ Kežmarok a cca po 5 zamestnancov</w:t>
      </w:r>
      <w:r w:rsidR="00D32C71">
        <w:rPr>
          <w:lang w:val="sk-SK"/>
        </w:rPr>
        <w:t xml:space="preserve"> pre OÚ Bratislava a Košice);</w:t>
      </w:r>
    </w:p>
    <w:p w14:paraId="0DEC9324" w14:textId="49F72349" w:rsidR="00077B51" w:rsidRPr="00D32C71" w:rsidRDefault="00077B51" w:rsidP="00D32C71">
      <w:pPr>
        <w:pStyle w:val="Odsekzoznamu"/>
        <w:numPr>
          <w:ilvl w:val="0"/>
          <w:numId w:val="34"/>
        </w:numPr>
        <w:jc w:val="both"/>
        <w:rPr>
          <w:lang w:val="sk-SK"/>
        </w:rPr>
      </w:pPr>
      <w:r w:rsidRPr="00D32C71">
        <w:rPr>
          <w:lang w:val="sk-SK"/>
        </w:rPr>
        <w:t xml:space="preserve">značný počet </w:t>
      </w:r>
      <w:proofErr w:type="spellStart"/>
      <w:r w:rsidRPr="00D32C71">
        <w:rPr>
          <w:lang w:val="sk-SK"/>
        </w:rPr>
        <w:t>nevysporiadaných</w:t>
      </w:r>
      <w:proofErr w:type="spellEnd"/>
      <w:r w:rsidRPr="00D32C71">
        <w:rPr>
          <w:lang w:val="sk-SK"/>
        </w:rPr>
        <w:t xml:space="preserve"> </w:t>
      </w:r>
      <w:proofErr w:type="spellStart"/>
      <w:r w:rsidRPr="00D32C71">
        <w:rPr>
          <w:lang w:val="sk-SK"/>
        </w:rPr>
        <w:t>záhradkových</w:t>
      </w:r>
      <w:proofErr w:type="spellEnd"/>
      <w:r w:rsidRPr="00D32C71">
        <w:rPr>
          <w:lang w:val="sk-SK"/>
        </w:rPr>
        <w:t xml:space="preserve"> osád.  Nie sú vybavené urbárske reštitučné nároky, ktoré si vyžadujú veľké množstvo dielčích rozhodnutí. Konania si vyžadujú kooperáciu s katastrálnym odborom, slovenským pozemkovým fondom, slovenským pozemkovým fondom, súdmi, archívmi a pod.</w:t>
      </w:r>
    </w:p>
    <w:p w14:paraId="29117BAA" w14:textId="34CF145B" w:rsidR="00171AD2" w:rsidRDefault="00171AD2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narastajúci</w:t>
      </w:r>
      <w:r w:rsidRPr="00171AD2">
        <w:t xml:space="preserve"> </w:t>
      </w:r>
      <w:r w:rsidRPr="00171AD2">
        <w:rPr>
          <w:lang w:val="sk-SK"/>
        </w:rPr>
        <w:t>počet jednoduchých pozemkových úprav.  Veľký počet žiadost</w:t>
      </w:r>
      <w:r w:rsidR="008B4A1A">
        <w:rPr>
          <w:lang w:val="sk-SK"/>
        </w:rPr>
        <w:t>í</w:t>
      </w:r>
      <w:r w:rsidRPr="00171AD2">
        <w:rPr>
          <w:lang w:val="sk-SK"/>
        </w:rPr>
        <w:t xml:space="preserve"> o vyňatie pozemkov za účelom investičnej a bytovej výstavby a líniových stavieb.</w:t>
      </w:r>
    </w:p>
    <w:p w14:paraId="0FE371DB" w14:textId="648B27B3" w:rsidR="00171AD2" w:rsidRPr="00077B51" w:rsidRDefault="00171AD2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n</w:t>
      </w:r>
      <w:r w:rsidRPr="00171AD2">
        <w:rPr>
          <w:lang w:val="sk-SK"/>
        </w:rPr>
        <w:t>a úseku l</w:t>
      </w:r>
      <w:r>
        <w:rPr>
          <w:lang w:val="sk-SK"/>
        </w:rPr>
        <w:t xml:space="preserve">esného hospodárstva je </w:t>
      </w:r>
      <w:r w:rsidRPr="00171AD2">
        <w:rPr>
          <w:lang w:val="sk-SK"/>
        </w:rPr>
        <w:t>zaťažujúce rozdrobené vlastn</w:t>
      </w:r>
      <w:r>
        <w:rPr>
          <w:lang w:val="sk-SK"/>
        </w:rPr>
        <w:t xml:space="preserve">íctvo pozemkov, </w:t>
      </w:r>
      <w:r w:rsidRPr="00171AD2">
        <w:rPr>
          <w:lang w:val="sk-SK"/>
        </w:rPr>
        <w:t>komplikovaný zápis obhospodarovateľa lesa, veľký rozsah obhospodarovateľov lesa a tým zvýšený rozsah zákonných evidencií a registrov.  Zvýšil sa rozsah plôch po ťažbe – holín, vzniknutých ťažbou kalamit</w:t>
      </w:r>
      <w:r>
        <w:rPr>
          <w:lang w:val="sk-SK"/>
        </w:rPr>
        <w:t>ného dreva. S tým narastá akútna</w:t>
      </w:r>
      <w:r w:rsidRPr="00171AD2">
        <w:rPr>
          <w:lang w:val="sk-SK"/>
        </w:rPr>
        <w:t xml:space="preserve"> potreba zo strany štátnej správy kontrola zalesnenia a zabezpečenia – odrastenia týchto plôch v zákonných lehotách. Nad</w:t>
      </w:r>
      <w:r>
        <w:rPr>
          <w:lang w:val="sk-SK"/>
        </w:rPr>
        <w:t>väzne je potrebné kontrolovať</w:t>
      </w:r>
      <w:r w:rsidRPr="00171AD2">
        <w:rPr>
          <w:lang w:val="sk-SK"/>
        </w:rPr>
        <w:t xml:space="preserve"> vhodnosť sadbového materiálu pri obnove lesa v zmysle platných právnych predpisov. Pre veľk</w:t>
      </w:r>
      <w:r>
        <w:rPr>
          <w:lang w:val="sk-SK"/>
        </w:rPr>
        <w:t xml:space="preserve">ú administratívu na </w:t>
      </w:r>
      <w:r w:rsidRPr="00171AD2">
        <w:rPr>
          <w:lang w:val="sk-SK"/>
        </w:rPr>
        <w:t>nezostáva časový priestor na vykonávanie štátnych dozorov hospodárenia v</w:t>
      </w:r>
      <w:r>
        <w:rPr>
          <w:lang w:val="sk-SK"/>
        </w:rPr>
        <w:t> </w:t>
      </w:r>
      <w:r w:rsidRPr="00171AD2">
        <w:rPr>
          <w:lang w:val="sk-SK"/>
        </w:rPr>
        <w:t>lese</w:t>
      </w:r>
      <w:r>
        <w:rPr>
          <w:lang w:val="sk-SK"/>
        </w:rPr>
        <w:t>.</w:t>
      </w:r>
    </w:p>
    <w:p w14:paraId="2BCF3877" w14:textId="197C2996" w:rsidR="000C2100" w:rsidRDefault="00823DCA" w:rsidP="00CB74E6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 xml:space="preserve">problematika </w:t>
      </w:r>
      <w:r w:rsidR="000C2100">
        <w:rPr>
          <w:lang w:val="sk-SK"/>
        </w:rPr>
        <w:t>v súvislosti s n</w:t>
      </w:r>
      <w:r w:rsidR="000C2100" w:rsidRPr="000C2100">
        <w:rPr>
          <w:lang w:val="sk-SK"/>
        </w:rPr>
        <w:t>arastajúc</w:t>
      </w:r>
      <w:r w:rsidR="000C2100">
        <w:rPr>
          <w:lang w:val="sk-SK"/>
        </w:rPr>
        <w:t>ou</w:t>
      </w:r>
      <w:r w:rsidR="000C2100" w:rsidRPr="000C2100">
        <w:rPr>
          <w:lang w:val="sk-SK"/>
        </w:rPr>
        <w:t xml:space="preserve"> segregáci</w:t>
      </w:r>
      <w:r w:rsidR="000C2100">
        <w:rPr>
          <w:lang w:val="sk-SK"/>
        </w:rPr>
        <w:t>ou</w:t>
      </w:r>
      <w:r w:rsidR="000C2100" w:rsidRPr="000C2100">
        <w:rPr>
          <w:lang w:val="sk-SK"/>
        </w:rPr>
        <w:t xml:space="preserve"> osídlení a </w:t>
      </w:r>
      <w:proofErr w:type="spellStart"/>
      <w:r w:rsidR="000C2100" w:rsidRPr="000C2100">
        <w:rPr>
          <w:lang w:val="sk-SK"/>
        </w:rPr>
        <w:t>marginalizáci</w:t>
      </w:r>
      <w:r w:rsidR="000C2100">
        <w:rPr>
          <w:lang w:val="sk-SK"/>
        </w:rPr>
        <w:t>ou</w:t>
      </w:r>
      <w:proofErr w:type="spellEnd"/>
      <w:r w:rsidR="000C2100" w:rsidRPr="000C2100">
        <w:rPr>
          <w:lang w:val="sk-SK"/>
        </w:rPr>
        <w:t xml:space="preserve"> osídlení či regiónov sa zvyšuje aj podiel obydlí, ktoré sú postavené nelegálne alebo nemajú vysporiadané pozemky, na ktorých stoja.</w:t>
      </w:r>
      <w:r w:rsidR="000C2100">
        <w:rPr>
          <w:lang w:val="sk-SK"/>
        </w:rPr>
        <w:t xml:space="preserve"> N</w:t>
      </w:r>
      <w:r w:rsidR="000C2100" w:rsidRPr="000C2100">
        <w:rPr>
          <w:lang w:val="sk-SK"/>
        </w:rPr>
        <w:t>ajvyšší výskyt takýchto nelegálnych obydlí bol zaznamenaný v najsegregovanejších a najmenej rozvinutých RO</w:t>
      </w:r>
      <w:r w:rsidR="000C2100">
        <w:rPr>
          <w:lang w:val="sk-SK"/>
        </w:rPr>
        <w:t>;</w:t>
      </w:r>
    </w:p>
    <w:p w14:paraId="0A9C4C56" w14:textId="05F8F522" w:rsidR="002A3123" w:rsidRPr="000A1026" w:rsidRDefault="00FA0D63" w:rsidP="00D32C71">
      <w:pPr>
        <w:pStyle w:val="Odsekzoznamu"/>
        <w:numPr>
          <w:ilvl w:val="0"/>
          <w:numId w:val="34"/>
        </w:numPr>
        <w:jc w:val="both"/>
        <w:rPr>
          <w:lang w:val="sk-SK"/>
        </w:rPr>
      </w:pPr>
      <w:r w:rsidRPr="00D32C71">
        <w:rPr>
          <w:lang w:val="sk-SK"/>
        </w:rPr>
        <w:t>problematika v oblasti vyvlastňovania súvisiaca s líniovými stavbami</w:t>
      </w:r>
      <w:r w:rsidR="000A1026" w:rsidRPr="00D32C71">
        <w:rPr>
          <w:lang w:val="sk-SK"/>
        </w:rPr>
        <w:t xml:space="preserve"> – príklad: NDS odhadla podanie cca 2500 vlastníkov s návrhmi na vyvlastnenie na OÚ Žilina v období od 10/2020 do 06/2022;</w:t>
      </w:r>
      <w:r w:rsidR="002A3123" w:rsidRPr="00D32C71">
        <w:rPr>
          <w:lang w:val="sk-SK"/>
        </w:rPr>
        <w:t xml:space="preserve"> </w:t>
      </w:r>
      <w:r w:rsidR="008B6C11" w:rsidRPr="00D32C71">
        <w:rPr>
          <w:lang w:val="sk-SK"/>
        </w:rPr>
        <w:t xml:space="preserve">čo spôsobilo </w:t>
      </w:r>
      <w:r w:rsidR="002A3123" w:rsidRPr="00D32C71">
        <w:rPr>
          <w:lang w:val="sk-SK"/>
        </w:rPr>
        <w:t>zvýšenie/nárast počtu návrhov na vyvlastnenie v súvislosti s výstavbou diaľničných úsekov D1 a D3 v Žilinskom kraji</w:t>
      </w:r>
      <w:r w:rsidR="00C72FB6" w:rsidRPr="00D32C71">
        <w:rPr>
          <w:lang w:val="sk-SK"/>
        </w:rPr>
        <w:t>. Vyplýva to i z materiálu Ministerstva dopravy a výstavby SR schváleného na 10. schôdzi Vlády SR dňa 12.05.2021 „Harmonogram prípravy a výstavby projektov cestnej infraštruktúry“, cit.: Vo všeobecnosti môžeme konštatovať, že najviac potrebné je pripravovať a začať s realizáciou kľúčových projektov ako D1 Turany – Hubová, projektov D3 v regióne Kysúc“</w:t>
      </w:r>
      <w:r w:rsidR="00D32C71" w:rsidRPr="00D32C71">
        <w:rPr>
          <w:lang w:val="sk-SK"/>
        </w:rPr>
        <w:t xml:space="preserve">. </w:t>
      </w:r>
      <w:r w:rsidR="00C72FB6" w:rsidRPr="00D32C71">
        <w:rPr>
          <w:lang w:val="sk-SK"/>
        </w:rPr>
        <w:t>Nárast počtu podaní vyplýva aj z toho, že OÚ je (v zmysle zák. č. 282/2015 Z. z. o vyvlastňovaní pozemkov a stavieb) nielen vyvlastňovacím orgánom pre potreby výstavby ciest a diaľnic, ale aj pre majetkovoprávne usporiadanie pozemkov pod miestnymi komunikáciami, ktoré v posledných mesiacoch začínajú vo väčšej miere realizovať obce, rekonštrukcií komunikácií, mostov, príp. riešenie havarijných stavov cestnej infraštruktúry a tiež aj vysporiadanie pozemkov pre potreby stavieb vodovodov a kanalizácií a iných stavieb vo verejnom záujme</w:t>
      </w:r>
      <w:r w:rsidR="00FD62B1" w:rsidRPr="00D32C71">
        <w:rPr>
          <w:lang w:val="sk-SK"/>
        </w:rPr>
        <w:t>.</w:t>
      </w:r>
      <w:r w:rsidR="00D32C71" w:rsidRPr="00D32C71" w:rsidDel="00D32C71">
        <w:rPr>
          <w:lang w:val="sk-SK"/>
        </w:rPr>
        <w:t xml:space="preserve"> </w:t>
      </w:r>
    </w:p>
    <w:p w14:paraId="4B08866A" w14:textId="77777777" w:rsidR="000A1026" w:rsidRPr="000C2100" w:rsidRDefault="000A1026" w:rsidP="00D32C71">
      <w:pPr>
        <w:pStyle w:val="Odsekzoznamu"/>
        <w:rPr>
          <w:lang w:val="sk-SK"/>
        </w:rPr>
      </w:pPr>
    </w:p>
    <w:p w14:paraId="534B4C06" w14:textId="77777777" w:rsidR="0042404E" w:rsidRPr="00747A30" w:rsidRDefault="0042404E" w:rsidP="00717B13">
      <w:pPr>
        <w:rPr>
          <w:lang w:val="sk-SK"/>
        </w:rPr>
      </w:pPr>
    </w:p>
    <w:p w14:paraId="6C126817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284" w:hanging="284"/>
        <w:contextualSpacing w:val="0"/>
        <w:jc w:val="both"/>
        <w:rPr>
          <w:lang w:val="sk-SK"/>
        </w:rPr>
      </w:pPr>
      <w:r w:rsidRPr="00747A30">
        <w:rPr>
          <w:lang w:val="sk-SK"/>
        </w:rPr>
        <w:t>Očakávaný stav a merateľné ciele</w:t>
      </w:r>
    </w:p>
    <w:tbl>
      <w:tblPr>
        <w:tblpPr w:leftFromText="141" w:rightFromText="141" w:vertAnchor="text" w:horzAnchor="margin" w:tblpY="2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842"/>
        <w:gridCol w:w="1560"/>
        <w:gridCol w:w="1701"/>
      </w:tblGrid>
      <w:tr w:rsidR="00E24719" w:rsidRPr="00747A30" w14:paraId="69C1F797" w14:textId="77777777" w:rsidTr="00AD549D">
        <w:trPr>
          <w:cantSplit/>
          <w:trHeight w:val="632"/>
          <w:tblHeader/>
        </w:trPr>
        <w:tc>
          <w:tcPr>
            <w:tcW w:w="9067" w:type="dxa"/>
            <w:gridSpan w:val="5"/>
            <w:shd w:val="clear" w:color="auto" w:fill="CCC0D9"/>
            <w:vAlign w:val="center"/>
          </w:tcPr>
          <w:p w14:paraId="19303730" w14:textId="77777777" w:rsidR="00E24719" w:rsidRPr="00747A30" w:rsidRDefault="00E24719" w:rsidP="00AD549D">
            <w:pPr>
              <w:keepNext/>
              <w:keepLines/>
              <w:tabs>
                <w:tab w:val="left" w:pos="1290"/>
              </w:tabs>
              <w:spacing w:before="60" w:after="60"/>
              <w:jc w:val="both"/>
              <w:rPr>
                <w:lang w:val="sk-SK"/>
              </w:rPr>
            </w:pPr>
            <w:r w:rsidRPr="00747A30">
              <w:rPr>
                <w:lang w:val="sk-SK"/>
              </w:rPr>
              <w:lastRenderedPageBreak/>
              <w:t xml:space="preserve">V tejto časti popíšte očakávané výsledky projektu s konkrétnym prínosom vo vzťahu k rozvoju oblasti pokrytej operačným programom a zrealizovaniu aktivít. V tabuľke nižšie uveďte projektové ukazovatele a iné údaje.  Projektové ukazovatele musia byť definované tak, </w:t>
            </w:r>
            <w:r w:rsidRPr="00747A30">
              <w:rPr>
                <w:lang w:val="sk-SK"/>
              </w:rPr>
              <w:br/>
              <w:t>aby odrážali výstupy/výsledky projektu a predstavovali kvantifikáciu toho, čo sa realizáciou aktivít za požadované výdavky dosiahne.</w:t>
            </w:r>
            <w:r w:rsidRPr="00747A30">
              <w:rPr>
                <w:rStyle w:val="Odkaznapoznmkupodiarou"/>
                <w:lang w:val="sk-SK"/>
              </w:rPr>
              <w:footnoteReference w:id="7"/>
            </w:r>
          </w:p>
        </w:tc>
      </w:tr>
      <w:tr w:rsidR="00E24719" w:rsidRPr="00747A30" w14:paraId="3FE216C7" w14:textId="77777777" w:rsidTr="00AD549D">
        <w:trPr>
          <w:cantSplit/>
          <w:trHeight w:val="632"/>
          <w:tblHeader/>
        </w:trPr>
        <w:tc>
          <w:tcPr>
            <w:tcW w:w="1980" w:type="dxa"/>
            <w:shd w:val="clear" w:color="auto" w:fill="CCC0D9"/>
            <w:vAlign w:val="center"/>
          </w:tcPr>
          <w:p w14:paraId="51443CD0" w14:textId="77777777" w:rsidR="00E24719" w:rsidRPr="00747A30" w:rsidRDefault="00E24719" w:rsidP="00AD549D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Cieľ  národného projektu</w:t>
            </w:r>
          </w:p>
        </w:tc>
        <w:tc>
          <w:tcPr>
            <w:tcW w:w="1984" w:type="dxa"/>
            <w:shd w:val="clear" w:color="auto" w:fill="CCC0D9"/>
            <w:vAlign w:val="center"/>
          </w:tcPr>
          <w:p w14:paraId="41DDD30D" w14:textId="77777777" w:rsidR="00E24719" w:rsidRPr="00747A30" w:rsidRDefault="00E24719" w:rsidP="00AD549D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Merateľný ukazovateľ</w:t>
            </w:r>
          </w:p>
        </w:tc>
        <w:tc>
          <w:tcPr>
            <w:tcW w:w="1842" w:type="dxa"/>
            <w:shd w:val="clear" w:color="auto" w:fill="CCC0D9"/>
            <w:vAlign w:val="center"/>
          </w:tcPr>
          <w:p w14:paraId="75F66B3E" w14:textId="77777777" w:rsidR="00E24719" w:rsidRPr="00747A30" w:rsidRDefault="00E24719" w:rsidP="00AD549D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Indikatívna cieľová hodnota</w:t>
            </w:r>
          </w:p>
        </w:tc>
        <w:tc>
          <w:tcPr>
            <w:tcW w:w="1560" w:type="dxa"/>
            <w:shd w:val="clear" w:color="auto" w:fill="CCC0D9"/>
          </w:tcPr>
          <w:p w14:paraId="097D1B58" w14:textId="77777777" w:rsidR="00E24719" w:rsidRPr="00747A30" w:rsidRDefault="00E24719" w:rsidP="00AD549D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Aktivita projektu</w:t>
            </w:r>
          </w:p>
        </w:tc>
        <w:tc>
          <w:tcPr>
            <w:tcW w:w="1701" w:type="dxa"/>
            <w:shd w:val="clear" w:color="auto" w:fill="CCC0D9"/>
          </w:tcPr>
          <w:p w14:paraId="1F8EAF26" w14:textId="77777777" w:rsidR="00E24719" w:rsidRPr="00747A30" w:rsidRDefault="00E24719" w:rsidP="00AD549D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Súvisiaci programový ukazovateľ</w:t>
            </w:r>
            <w:r w:rsidRPr="00747A30">
              <w:rPr>
                <w:rStyle w:val="Odkaznapoznmkupodiarou"/>
                <w:lang w:val="sk-SK"/>
              </w:rPr>
              <w:footnoteReference w:id="8"/>
            </w:r>
          </w:p>
        </w:tc>
      </w:tr>
      <w:tr w:rsidR="00F56735" w:rsidRPr="00747A30" w14:paraId="0E044625" w14:textId="77777777" w:rsidTr="00FB1D7F">
        <w:trPr>
          <w:cantSplit/>
          <w:trHeight w:val="406"/>
        </w:trPr>
        <w:tc>
          <w:tcPr>
            <w:tcW w:w="1980" w:type="dxa"/>
            <w:vAlign w:val="center"/>
          </w:tcPr>
          <w:p w14:paraId="5F909F31" w14:textId="10A94071" w:rsidR="00F56735" w:rsidRPr="00747A30" w:rsidRDefault="00746183" w:rsidP="00F56735">
            <w:pPr>
              <w:rPr>
                <w:strike/>
                <w:lang w:val="sk-SK"/>
              </w:rPr>
            </w:pPr>
            <w:r w:rsidRPr="00747A30">
              <w:rPr>
                <w:sz w:val="20"/>
                <w:lang w:val="sk-SK"/>
              </w:rPr>
              <w:t xml:space="preserve">Podpora najexponovanejších odborov okresných úradov za účelom zefektívnenia poskytovaných </w:t>
            </w:r>
            <w:proofErr w:type="spellStart"/>
            <w:r w:rsidRPr="00747A30">
              <w:rPr>
                <w:sz w:val="20"/>
                <w:lang w:val="sk-SK"/>
              </w:rPr>
              <w:t>proklientsky</w:t>
            </w:r>
            <w:proofErr w:type="spellEnd"/>
            <w:r w:rsidRPr="00747A30">
              <w:rPr>
                <w:sz w:val="20"/>
                <w:lang w:val="sk-SK"/>
              </w:rPr>
              <w:t xml:space="preserve"> orientovaných služieb</w:t>
            </w:r>
          </w:p>
        </w:tc>
        <w:tc>
          <w:tcPr>
            <w:tcW w:w="1984" w:type="dxa"/>
            <w:vAlign w:val="center"/>
          </w:tcPr>
          <w:p w14:paraId="4A37FEE8" w14:textId="2D2D3E13" w:rsidR="00F56735" w:rsidRPr="00747A30" w:rsidRDefault="00F56735" w:rsidP="00F56735">
            <w:pPr>
              <w:rPr>
                <w:lang w:val="sk-SK"/>
              </w:rPr>
            </w:pPr>
            <w:r w:rsidRPr="00747A30">
              <w:rPr>
                <w:sz w:val="20"/>
                <w:lang w:val="sk-SK"/>
              </w:rPr>
              <w:t>P0296 Počet podporených klientskych centier poskytujúcich pro-klientsky orientované služby FO a PO</w:t>
            </w:r>
          </w:p>
        </w:tc>
        <w:tc>
          <w:tcPr>
            <w:tcW w:w="1842" w:type="dxa"/>
          </w:tcPr>
          <w:p w14:paraId="3BB32509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62A0A4B5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47DB96CF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4E3561FC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70FCD1C4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613AD788" w14:textId="0E2751F0" w:rsidR="00F56735" w:rsidRPr="00747A30" w:rsidRDefault="00B4659E" w:rsidP="00D32C71">
            <w:pPr>
              <w:jc w:val="center"/>
              <w:rPr>
                <w:lang w:val="sk-SK"/>
              </w:rPr>
            </w:pPr>
            <w:r>
              <w:rPr>
                <w:sz w:val="20"/>
                <w:lang w:val="sk-SK"/>
              </w:rPr>
              <w:t>72</w:t>
            </w:r>
          </w:p>
        </w:tc>
        <w:tc>
          <w:tcPr>
            <w:tcW w:w="1560" w:type="dxa"/>
          </w:tcPr>
          <w:p w14:paraId="0ED28A42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3E0EB016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548618FA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3779189F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3BB25185" w14:textId="77777777" w:rsidR="00F56735" w:rsidRPr="00747A30" w:rsidRDefault="00F56735" w:rsidP="00F56735">
            <w:pPr>
              <w:jc w:val="center"/>
              <w:rPr>
                <w:sz w:val="20"/>
                <w:lang w:val="sk-SK"/>
              </w:rPr>
            </w:pPr>
          </w:p>
          <w:p w14:paraId="296B60A9" w14:textId="42EE3947" w:rsidR="00F56735" w:rsidRPr="00747A30" w:rsidRDefault="00F56735" w:rsidP="00F56735">
            <w:pPr>
              <w:rPr>
                <w:lang w:val="sk-SK"/>
              </w:rPr>
            </w:pPr>
            <w:r w:rsidRPr="00747A30">
              <w:rPr>
                <w:sz w:val="20"/>
                <w:lang w:val="sk-SK"/>
              </w:rPr>
              <w:t>Aktivita č. 1</w:t>
            </w:r>
          </w:p>
        </w:tc>
        <w:tc>
          <w:tcPr>
            <w:tcW w:w="1701" w:type="dxa"/>
            <w:vAlign w:val="center"/>
          </w:tcPr>
          <w:p w14:paraId="17680E96" w14:textId="48182A17" w:rsidR="00F56735" w:rsidRPr="00747A30" w:rsidRDefault="00F56735" w:rsidP="00F56735">
            <w:pPr>
              <w:rPr>
                <w:lang w:val="sk-SK"/>
              </w:rPr>
            </w:pPr>
            <w:r w:rsidRPr="00747A30">
              <w:rPr>
                <w:sz w:val="20"/>
                <w:lang w:val="sk-SK"/>
              </w:rPr>
              <w:t xml:space="preserve">O0053 Počet podporených klientskych centier poskytujúcich pro-klientsky orientované služby FO a PO </w:t>
            </w:r>
          </w:p>
        </w:tc>
      </w:tr>
      <w:tr w:rsidR="00F56735" w:rsidRPr="00747A30" w14:paraId="095E016D" w14:textId="77777777" w:rsidTr="00AD549D">
        <w:trPr>
          <w:cantSplit/>
          <w:trHeight w:val="447"/>
        </w:trPr>
        <w:tc>
          <w:tcPr>
            <w:tcW w:w="9067" w:type="dxa"/>
            <w:gridSpan w:val="5"/>
            <w:shd w:val="clear" w:color="auto" w:fill="CCC0D9"/>
          </w:tcPr>
          <w:p w14:paraId="5503AF04" w14:textId="77777777" w:rsidR="00F56735" w:rsidRPr="00747A30" w:rsidRDefault="00F56735" w:rsidP="00F56735">
            <w:pPr>
              <w:jc w:val="both"/>
              <w:rPr>
                <w:lang w:val="sk-SK"/>
              </w:rPr>
            </w:pPr>
            <w:r w:rsidRPr="00747A30">
              <w:rPr>
                <w:lang w:val="sk-SK"/>
              </w:rPr>
              <w:t>Iné údaje, ktorými je možné sledovať napĺňanie cieľov národného projektu (ak relevantné)</w:t>
            </w:r>
          </w:p>
        </w:tc>
      </w:tr>
      <w:tr w:rsidR="00F56735" w:rsidRPr="00747A30" w14:paraId="0609DF86" w14:textId="77777777" w:rsidTr="00AD549D">
        <w:trPr>
          <w:cantSplit/>
          <w:trHeight w:val="447"/>
        </w:trPr>
        <w:tc>
          <w:tcPr>
            <w:tcW w:w="1980" w:type="dxa"/>
            <w:shd w:val="clear" w:color="auto" w:fill="CCC0D9"/>
            <w:vAlign w:val="center"/>
          </w:tcPr>
          <w:p w14:paraId="76696552" w14:textId="77777777" w:rsidR="00F56735" w:rsidRPr="00747A30" w:rsidRDefault="00F56735" w:rsidP="00F56735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Cieľ národného projektu</w:t>
            </w:r>
          </w:p>
        </w:tc>
        <w:tc>
          <w:tcPr>
            <w:tcW w:w="1984" w:type="dxa"/>
            <w:shd w:val="clear" w:color="auto" w:fill="CCC0D9"/>
            <w:vAlign w:val="center"/>
          </w:tcPr>
          <w:p w14:paraId="4460F9DE" w14:textId="77777777" w:rsidR="00F56735" w:rsidRPr="00747A30" w:rsidRDefault="00F56735" w:rsidP="00F56735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Ukazovateľ</w:t>
            </w:r>
          </w:p>
        </w:tc>
        <w:tc>
          <w:tcPr>
            <w:tcW w:w="1842" w:type="dxa"/>
            <w:shd w:val="clear" w:color="auto" w:fill="CCC0D9"/>
          </w:tcPr>
          <w:p w14:paraId="575E95E2" w14:textId="77777777" w:rsidR="00F56735" w:rsidRPr="00747A30" w:rsidRDefault="00F56735" w:rsidP="00F56735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Indikatívna cieľová hodnota</w:t>
            </w:r>
          </w:p>
        </w:tc>
        <w:tc>
          <w:tcPr>
            <w:tcW w:w="3261" w:type="dxa"/>
            <w:gridSpan w:val="2"/>
            <w:shd w:val="clear" w:color="auto" w:fill="CCC0D9"/>
          </w:tcPr>
          <w:p w14:paraId="62A8EFF1" w14:textId="77777777" w:rsidR="00F56735" w:rsidRPr="00747A30" w:rsidRDefault="00F56735" w:rsidP="00F56735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Aktivita projektu</w:t>
            </w:r>
          </w:p>
        </w:tc>
      </w:tr>
      <w:tr w:rsidR="00F56735" w:rsidRPr="00747A30" w14:paraId="2208B792" w14:textId="77777777" w:rsidTr="00FB1D7F">
        <w:trPr>
          <w:cantSplit/>
          <w:trHeight w:val="447"/>
        </w:trPr>
        <w:tc>
          <w:tcPr>
            <w:tcW w:w="1980" w:type="dxa"/>
            <w:shd w:val="clear" w:color="auto" w:fill="auto"/>
          </w:tcPr>
          <w:p w14:paraId="43D0CB88" w14:textId="00558BAE" w:rsidR="00F56735" w:rsidRPr="00747A30" w:rsidRDefault="00746183" w:rsidP="00FB1D7F">
            <w:pPr>
              <w:rPr>
                <w:strike/>
                <w:sz w:val="20"/>
                <w:lang w:val="sk-SK"/>
              </w:rPr>
            </w:pPr>
            <w:r w:rsidRPr="00747A30">
              <w:rPr>
                <w:sz w:val="20"/>
                <w:lang w:val="sk-SK"/>
              </w:rPr>
              <w:t xml:space="preserve">Podpora najexponovanejších odborov okresných úradov za účelom zefektívnenia poskytovaných </w:t>
            </w:r>
            <w:proofErr w:type="spellStart"/>
            <w:r w:rsidRPr="00747A30">
              <w:rPr>
                <w:sz w:val="20"/>
                <w:lang w:val="sk-SK"/>
              </w:rPr>
              <w:t>proklientsky</w:t>
            </w:r>
            <w:proofErr w:type="spellEnd"/>
            <w:r w:rsidRPr="00747A30">
              <w:rPr>
                <w:sz w:val="20"/>
                <w:lang w:val="sk-SK"/>
              </w:rPr>
              <w:t xml:space="preserve"> orientovaných služieb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EC2944" w14:textId="77777777" w:rsidR="007E1F9D" w:rsidRDefault="007E1F9D" w:rsidP="007E1F9D">
            <w:pPr>
              <w:pStyle w:val="Textkomentra"/>
            </w:pPr>
            <w:r>
              <w:t xml:space="preserve">P0913 -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zamestnancov</w:t>
            </w:r>
            <w:proofErr w:type="spellEnd"/>
            <w:r>
              <w:t xml:space="preserve"> VS </w:t>
            </w:r>
            <w:proofErr w:type="spellStart"/>
            <w:r>
              <w:t>vykonávajúcich</w:t>
            </w:r>
            <w:proofErr w:type="spellEnd"/>
            <w:r>
              <w:t xml:space="preserve"> </w:t>
            </w:r>
            <w:proofErr w:type="spellStart"/>
            <w:r>
              <w:t>analytické</w:t>
            </w:r>
            <w:proofErr w:type="spellEnd"/>
            <w:r>
              <w:t xml:space="preserve"> </w:t>
            </w:r>
            <w:proofErr w:type="spellStart"/>
            <w:r>
              <w:t>činnosti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manažérske</w:t>
            </w:r>
            <w:proofErr w:type="spellEnd"/>
            <w:r>
              <w:t xml:space="preserve"> </w:t>
            </w:r>
            <w:proofErr w:type="spellStart"/>
            <w:r>
              <w:t>činnosti</w:t>
            </w:r>
            <w:proofErr w:type="spellEnd"/>
            <w:r>
              <w:t xml:space="preserve"> v </w:t>
            </w:r>
            <w:proofErr w:type="spellStart"/>
            <w:r>
              <w:t>prospech</w:t>
            </w:r>
            <w:proofErr w:type="spellEnd"/>
            <w:r>
              <w:t xml:space="preserve"> </w:t>
            </w:r>
            <w:proofErr w:type="spellStart"/>
            <w:r>
              <w:t>zavádzania</w:t>
            </w:r>
            <w:proofErr w:type="spellEnd"/>
            <w:r>
              <w:t xml:space="preserve"> </w:t>
            </w:r>
            <w:proofErr w:type="spellStart"/>
            <w:r>
              <w:t>inovačných</w:t>
            </w:r>
            <w:proofErr w:type="spellEnd"/>
            <w:r>
              <w:t xml:space="preserve"> a </w:t>
            </w:r>
            <w:proofErr w:type="spellStart"/>
            <w:r>
              <w:t>reformných</w:t>
            </w:r>
            <w:proofErr w:type="spellEnd"/>
            <w:r>
              <w:t xml:space="preserve"> </w:t>
            </w:r>
            <w:proofErr w:type="spellStart"/>
            <w:r>
              <w:t>opatrení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VS</w:t>
            </w:r>
          </w:p>
          <w:p w14:paraId="3C1CEE8F" w14:textId="593510D3" w:rsidR="007E1F9D" w:rsidRPr="00747A30" w:rsidRDefault="007E1F9D" w:rsidP="00FB1D7F">
            <w:pPr>
              <w:rPr>
                <w:lang w:val="sk-SK"/>
              </w:rPr>
            </w:pPr>
          </w:p>
        </w:tc>
        <w:tc>
          <w:tcPr>
            <w:tcW w:w="1842" w:type="dxa"/>
          </w:tcPr>
          <w:p w14:paraId="52CB496C" w14:textId="77777777" w:rsidR="00F56735" w:rsidRPr="00747A30" w:rsidRDefault="00F56735" w:rsidP="002E59DF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5BCC98B6" w14:textId="77777777" w:rsidR="00F56735" w:rsidRPr="00747A30" w:rsidRDefault="00F56735" w:rsidP="002E59DF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530B6E36" w14:textId="77777777" w:rsidR="00F56735" w:rsidRPr="00747A30" w:rsidRDefault="00F56735" w:rsidP="002E59DF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788FDD43" w14:textId="77777777" w:rsidR="00F56735" w:rsidRPr="00747A30" w:rsidRDefault="00F56735" w:rsidP="002E59DF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422856C4" w14:textId="77777777" w:rsidR="00F56735" w:rsidRPr="00747A30" w:rsidRDefault="00F56735" w:rsidP="002E59DF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3CF8A8BC" w14:textId="5A279A00" w:rsidR="00F56735" w:rsidRPr="00747A30" w:rsidRDefault="00D32C71" w:rsidP="00D32C71">
            <w:pPr>
              <w:jc w:val="center"/>
              <w:rPr>
                <w:highlight w:val="yellow"/>
                <w:lang w:val="sk-SK"/>
              </w:rPr>
            </w:pPr>
            <w:r w:rsidRPr="00D32C71">
              <w:rPr>
                <w:sz w:val="20"/>
                <w:szCs w:val="20"/>
                <w:lang w:val="sk-SK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14:paraId="1EBA4D0E" w14:textId="3344C3F2" w:rsidR="00F56735" w:rsidRPr="00747A30" w:rsidRDefault="00F56735" w:rsidP="00F56735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6C2AC1D0" w14:textId="77777777" w:rsidR="00F56735" w:rsidRPr="00747A30" w:rsidRDefault="00F56735" w:rsidP="00F56735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3F5A3D73" w14:textId="77777777" w:rsidR="00F56735" w:rsidRPr="00747A30" w:rsidRDefault="00F56735" w:rsidP="00F56735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03F44C68" w14:textId="77777777" w:rsidR="00F56735" w:rsidRPr="00747A30" w:rsidRDefault="00F56735" w:rsidP="00F56735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4E23ED46" w14:textId="77777777" w:rsidR="00F56735" w:rsidRPr="00747A30" w:rsidRDefault="00F56735" w:rsidP="00F56735">
            <w:pPr>
              <w:rPr>
                <w:sz w:val="20"/>
                <w:szCs w:val="20"/>
                <w:highlight w:val="yellow"/>
                <w:lang w:val="sk-SK"/>
              </w:rPr>
            </w:pPr>
          </w:p>
          <w:p w14:paraId="2A6E0466" w14:textId="535278CF" w:rsidR="00F56735" w:rsidRPr="00747A30" w:rsidRDefault="00F56735" w:rsidP="00F56735">
            <w:pPr>
              <w:jc w:val="center"/>
              <w:rPr>
                <w:highlight w:val="yellow"/>
                <w:lang w:val="sk-SK"/>
              </w:rPr>
            </w:pPr>
            <w:r w:rsidRPr="00747A30">
              <w:rPr>
                <w:sz w:val="20"/>
                <w:szCs w:val="20"/>
                <w:lang w:val="sk-SK"/>
              </w:rPr>
              <w:t>Aktivita č. 1</w:t>
            </w:r>
          </w:p>
        </w:tc>
        <w:tc>
          <w:tcPr>
            <w:tcW w:w="1701" w:type="dxa"/>
            <w:vAlign w:val="center"/>
          </w:tcPr>
          <w:p w14:paraId="59AB7733" w14:textId="77777777" w:rsidR="00F56735" w:rsidRPr="00747A30" w:rsidRDefault="00F56735" w:rsidP="00F56735">
            <w:pPr>
              <w:jc w:val="center"/>
              <w:rPr>
                <w:lang w:val="sk-SK"/>
              </w:rPr>
            </w:pPr>
          </w:p>
        </w:tc>
      </w:tr>
    </w:tbl>
    <w:p w14:paraId="43771FED" w14:textId="77777777" w:rsidR="00E24719" w:rsidRPr="00747A30" w:rsidRDefault="00E24719" w:rsidP="00E24719">
      <w:pPr>
        <w:spacing w:line="276" w:lineRule="auto"/>
        <w:jc w:val="both"/>
        <w:rPr>
          <w:lang w:val="sk-SK"/>
        </w:rPr>
      </w:pPr>
      <w:r w:rsidRPr="00747A30">
        <w:rPr>
          <w:i/>
          <w:lang w:val="sk-SK"/>
        </w:rPr>
        <w:t>V prípade viacerých merateľných ukazovateľov, doplňte údaje za každý merateľný ukazovateľ.</w:t>
      </w:r>
    </w:p>
    <w:p w14:paraId="4C10904D" w14:textId="77777777" w:rsidR="00E24719" w:rsidRDefault="00E24719" w:rsidP="00E24719">
      <w:pPr>
        <w:rPr>
          <w:lang w:val="sk-SK"/>
        </w:rPr>
      </w:pPr>
    </w:p>
    <w:p w14:paraId="327CC592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426" w:hanging="426"/>
        <w:jc w:val="both"/>
        <w:rPr>
          <w:lang w:val="sk-SK"/>
        </w:rPr>
      </w:pPr>
      <w:r w:rsidRPr="00747A30">
        <w:rPr>
          <w:lang w:val="sk-SK"/>
        </w:rPr>
        <w:t>Bližší popis merateľných ukazovateľov.</w:t>
      </w:r>
      <w:r w:rsidRPr="00747A30">
        <w:rPr>
          <w:rStyle w:val="Odkaznapoznmkupodiarou"/>
          <w:lang w:val="sk-SK"/>
        </w:rPr>
        <w:footnoteReference w:id="9"/>
      </w:r>
      <w:r w:rsidRPr="00747A30">
        <w:rPr>
          <w:lang w:val="sk-SK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6607"/>
      </w:tblGrid>
      <w:tr w:rsidR="00E24719" w:rsidRPr="00747A30" w14:paraId="59DE5346" w14:textId="77777777" w:rsidTr="00AD549D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7B44595" w14:textId="77777777" w:rsidR="00E24719" w:rsidRPr="00747A30" w:rsidRDefault="00E24719" w:rsidP="00AD549D">
            <w:pPr>
              <w:pStyle w:val="Bullet"/>
              <w:numPr>
                <w:ilvl w:val="0"/>
                <w:numId w:val="0"/>
              </w:numPr>
            </w:pPr>
            <w:r w:rsidRPr="00747A3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482B3A" w:rsidRPr="00747A30" w14:paraId="1973F12D" w14:textId="77777777" w:rsidTr="00AD549D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412D7EDE" w14:textId="77777777" w:rsidR="00482B3A" w:rsidRPr="00747A30" w:rsidRDefault="00482B3A" w:rsidP="00482B3A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747A30">
              <w:rPr>
                <w:lang w:val="sk-SK"/>
              </w:rPr>
              <w:lastRenderedPageBreak/>
              <w:t>Názov merateľného ukazovateľa</w:t>
            </w:r>
            <w:r w:rsidRPr="00747A30">
              <w:rPr>
                <w:rStyle w:val="Odkaznapoznmkupodiarou"/>
                <w:sz w:val="20"/>
                <w:szCs w:val="20"/>
                <w:lang w:val="sk-SK"/>
              </w:rPr>
              <w:footnoteReference w:id="10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0968EDB5" w14:textId="6F66B649" w:rsidR="00482B3A" w:rsidRPr="00747A30" w:rsidRDefault="00482B3A" w:rsidP="00692CCA">
            <w:pPr>
              <w:pStyle w:val="Bullet"/>
              <w:numPr>
                <w:ilvl w:val="0"/>
                <w:numId w:val="0"/>
              </w:numPr>
              <w:rPr>
                <w:b/>
              </w:rPr>
            </w:pPr>
            <w:r w:rsidRPr="00747A30">
              <w:rPr>
                <w:b/>
              </w:rPr>
              <w:t>P0296 Počet podporených klientskych centier poskytujúcich pro-klientsky orientované služby FO a PO</w:t>
            </w:r>
          </w:p>
        </w:tc>
      </w:tr>
      <w:tr w:rsidR="00482B3A" w:rsidRPr="00747A30" w14:paraId="384C9E23" w14:textId="77777777" w:rsidTr="00AD549D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0FF81C93" w14:textId="77777777" w:rsidR="00482B3A" w:rsidRPr="00747A30" w:rsidRDefault="00482B3A" w:rsidP="00482B3A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747A30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3C6CE2FB" w14:textId="7094D783" w:rsidR="00482B3A" w:rsidRPr="00747A30" w:rsidRDefault="00482B3A" w:rsidP="00B66DE4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Počet </w:t>
            </w:r>
            <w:r w:rsidRPr="00B66DE4">
              <w:rPr>
                <w:lang w:val="sk-SK"/>
              </w:rPr>
              <w:t xml:space="preserve">klientskych centier podporených z OP EVS poskytujúcich pro-klientsky orientované služby FO a PO. Počíta sa so sieťou  </w:t>
            </w:r>
            <w:r w:rsidR="00B66DE4" w:rsidRPr="00B66DE4">
              <w:rPr>
                <w:lang w:val="sk-SK"/>
              </w:rPr>
              <w:t xml:space="preserve">72 </w:t>
            </w:r>
            <w:r w:rsidRPr="00B66DE4">
              <w:rPr>
                <w:lang w:val="sk-SK"/>
              </w:rPr>
              <w:t>podporených klientskych centier</w:t>
            </w:r>
            <w:r w:rsidRPr="00747A30">
              <w:rPr>
                <w:lang w:val="sk-SK"/>
              </w:rPr>
              <w:t xml:space="preserve"> v rámci tohto projektu. Vykazované dáta v súlade s internou štatistikou MV SR.</w:t>
            </w:r>
          </w:p>
        </w:tc>
      </w:tr>
    </w:tbl>
    <w:p w14:paraId="6E5B6E38" w14:textId="77777777" w:rsidR="00E24719" w:rsidRPr="00747A30" w:rsidRDefault="00E24719" w:rsidP="00E24719">
      <w:pPr>
        <w:rPr>
          <w:lang w:val="sk-SK"/>
        </w:rPr>
      </w:pPr>
      <w:r w:rsidRPr="00747A30">
        <w:rPr>
          <w:i/>
          <w:lang w:val="sk-SK"/>
        </w:rPr>
        <w:t>V prípade viacerých merateľných ukazovateľov, doplňte údaje za každý z nich.</w:t>
      </w:r>
    </w:p>
    <w:p w14:paraId="44A03B73" w14:textId="77777777" w:rsidR="00E24719" w:rsidRPr="00747A30" w:rsidRDefault="00E24719" w:rsidP="00E24719">
      <w:pPr>
        <w:rPr>
          <w:i/>
          <w:lang w:val="sk-SK"/>
        </w:rPr>
      </w:pPr>
    </w:p>
    <w:p w14:paraId="52159433" w14:textId="77777777" w:rsidR="00E24719" w:rsidRPr="00747A30" w:rsidRDefault="00E24719" w:rsidP="00E24719">
      <w:pPr>
        <w:pStyle w:val="Odsekzoznamu"/>
        <w:numPr>
          <w:ilvl w:val="0"/>
          <w:numId w:val="31"/>
        </w:numPr>
        <w:jc w:val="both"/>
        <w:rPr>
          <w:lang w:val="sk-SK"/>
        </w:rPr>
      </w:pPr>
      <w:r w:rsidRPr="00747A30">
        <w:rPr>
          <w:lang w:val="sk-SK"/>
        </w:rPr>
        <w:t>Očakávané dopady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76"/>
        <w:gridCol w:w="3663"/>
      </w:tblGrid>
      <w:tr w:rsidR="00E24719" w:rsidRPr="00747A30" w14:paraId="4CBA5C30" w14:textId="77777777" w:rsidTr="00AD549D">
        <w:trPr>
          <w:trHeight w:val="719"/>
        </w:trPr>
        <w:tc>
          <w:tcPr>
            <w:tcW w:w="9062" w:type="dxa"/>
            <w:gridSpan w:val="3"/>
            <w:shd w:val="clear" w:color="auto" w:fill="CCC0D9"/>
          </w:tcPr>
          <w:p w14:paraId="20E3582C" w14:textId="77777777" w:rsidR="00E24719" w:rsidRPr="00747A30" w:rsidRDefault="00E24719" w:rsidP="00AD549D">
            <w:pPr>
              <w:jc w:val="both"/>
              <w:rPr>
                <w:lang w:val="sk-SK"/>
              </w:rPr>
            </w:pPr>
            <w:r w:rsidRPr="00747A30">
              <w:rPr>
                <w:lang w:val="sk-SK"/>
              </w:rPr>
              <w:t xml:space="preserve">Zoznam prínosov a prípadných iných dopadov, ktoré sa dajú očakávať </w:t>
            </w:r>
            <w:r w:rsidRPr="00747A30">
              <w:rPr>
                <w:lang w:val="sk-SK"/>
              </w:rPr>
              <w:br/>
              <w:t>pre jednotlivé cieľové skupiny</w:t>
            </w:r>
          </w:p>
        </w:tc>
      </w:tr>
      <w:tr w:rsidR="00E24719" w:rsidRPr="00747A30" w14:paraId="7A9F7BCD" w14:textId="77777777" w:rsidTr="00AD549D">
        <w:tc>
          <w:tcPr>
            <w:tcW w:w="3823" w:type="dxa"/>
            <w:shd w:val="clear" w:color="auto" w:fill="CCC0D9"/>
          </w:tcPr>
          <w:p w14:paraId="246F6CDD" w14:textId="77777777" w:rsidR="00E24719" w:rsidRPr="00747A30" w:rsidRDefault="00E24719" w:rsidP="00AD549D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 xml:space="preserve">Dopady </w:t>
            </w:r>
          </w:p>
        </w:tc>
        <w:tc>
          <w:tcPr>
            <w:tcW w:w="1576" w:type="dxa"/>
            <w:shd w:val="clear" w:color="auto" w:fill="auto"/>
          </w:tcPr>
          <w:p w14:paraId="61B02270" w14:textId="77777777" w:rsidR="00E24719" w:rsidRPr="00747A30" w:rsidRDefault="00E24719" w:rsidP="00AD549D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Cieľová skupina (ak relevantné)</w:t>
            </w:r>
          </w:p>
        </w:tc>
        <w:tc>
          <w:tcPr>
            <w:tcW w:w="3663" w:type="dxa"/>
            <w:shd w:val="clear" w:color="auto" w:fill="auto"/>
          </w:tcPr>
          <w:p w14:paraId="3D261FD1" w14:textId="77777777" w:rsidR="00E24719" w:rsidRPr="00747A30" w:rsidRDefault="00E24719" w:rsidP="00AD549D">
            <w:pPr>
              <w:jc w:val="center"/>
              <w:rPr>
                <w:lang w:val="sk-SK"/>
              </w:rPr>
            </w:pPr>
            <w:r w:rsidRPr="00747A30">
              <w:rPr>
                <w:lang w:val="sk-SK"/>
              </w:rPr>
              <w:t>Počet</w:t>
            </w:r>
            <w:r w:rsidRPr="00747A30">
              <w:rPr>
                <w:rStyle w:val="Odkaznapoznmkupodiarou"/>
                <w:lang w:val="sk-SK"/>
              </w:rPr>
              <w:footnoteReference w:id="11"/>
            </w:r>
          </w:p>
        </w:tc>
      </w:tr>
      <w:tr w:rsidR="00DD7660" w:rsidRPr="00747A30" w14:paraId="7DE0FAEA" w14:textId="77777777" w:rsidTr="00AD549D">
        <w:tc>
          <w:tcPr>
            <w:tcW w:w="3823" w:type="dxa"/>
            <w:shd w:val="clear" w:color="auto" w:fill="CCC0D9"/>
          </w:tcPr>
          <w:p w14:paraId="535D505F" w14:textId="29A10279" w:rsidR="00DD7660" w:rsidRPr="00747A30" w:rsidRDefault="00DD7660" w:rsidP="00DD7660">
            <w:pPr>
              <w:rPr>
                <w:lang w:val="sk-SK"/>
              </w:rPr>
            </w:pPr>
            <w:r w:rsidRPr="00747A30">
              <w:rPr>
                <w:lang w:val="sk-SK" w:eastAsia="sk-SK"/>
              </w:rPr>
              <w:t>Zvýšenie spokojnosti občanov s poskytnutými službami</w:t>
            </w:r>
          </w:p>
        </w:tc>
        <w:tc>
          <w:tcPr>
            <w:tcW w:w="1576" w:type="dxa"/>
            <w:shd w:val="clear" w:color="auto" w:fill="auto"/>
          </w:tcPr>
          <w:p w14:paraId="3DE131BE" w14:textId="20E89E7F" w:rsidR="00DD7660" w:rsidRPr="00747A30" w:rsidRDefault="00DD7660" w:rsidP="00DD7660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PO a občania ako prijímatelia služieb (nepriama cieľová skupina) </w:t>
            </w:r>
          </w:p>
        </w:tc>
        <w:tc>
          <w:tcPr>
            <w:tcW w:w="3663" w:type="dxa"/>
            <w:shd w:val="clear" w:color="auto" w:fill="auto"/>
          </w:tcPr>
          <w:p w14:paraId="033E08B7" w14:textId="17152D01" w:rsidR="00DD7660" w:rsidRPr="00747A30" w:rsidRDefault="00DD7660" w:rsidP="00DD7660">
            <w:pPr>
              <w:rPr>
                <w:lang w:val="sk-SK"/>
              </w:rPr>
            </w:pPr>
            <w:r w:rsidRPr="00747A30">
              <w:rPr>
                <w:lang w:val="sk-SK"/>
              </w:rPr>
              <w:t>Dopady sa týkajú všetkých fyzických a právnických osôb, avšak presné číslo nie je možné stanoviť, nakoľko využitie služieb nie je možné predvídať.</w:t>
            </w:r>
          </w:p>
        </w:tc>
      </w:tr>
      <w:tr w:rsidR="00DD7660" w:rsidRPr="00747A30" w14:paraId="1B9399A1" w14:textId="77777777" w:rsidTr="00AD549D">
        <w:tc>
          <w:tcPr>
            <w:tcW w:w="3823" w:type="dxa"/>
            <w:shd w:val="clear" w:color="auto" w:fill="CCC0D9"/>
          </w:tcPr>
          <w:p w14:paraId="54ABC87D" w14:textId="63D042F4" w:rsidR="00DD7660" w:rsidRPr="00747A30" w:rsidRDefault="00DD7660" w:rsidP="00746183">
            <w:pPr>
              <w:rPr>
                <w:lang w:val="sk-SK" w:eastAsia="sk-SK"/>
              </w:rPr>
            </w:pPr>
            <w:r w:rsidRPr="00747A30">
              <w:rPr>
                <w:lang w:val="sk-SK" w:eastAsia="sk-SK"/>
              </w:rPr>
              <w:t xml:space="preserve">Skrátenie času vybavenia </w:t>
            </w:r>
            <w:r w:rsidR="00746183" w:rsidRPr="00747A30">
              <w:rPr>
                <w:lang w:val="sk-SK" w:eastAsia="sk-SK"/>
              </w:rPr>
              <w:t>a dodržiavania lehôt</w:t>
            </w:r>
            <w:r w:rsidRPr="00747A30">
              <w:rPr>
                <w:lang w:val="sk-SK" w:eastAsia="sk-SK"/>
              </w:rPr>
              <w:t xml:space="preserve">, </w:t>
            </w:r>
            <w:proofErr w:type="spellStart"/>
            <w:r w:rsidRPr="00747A30">
              <w:rPr>
                <w:lang w:val="sk-SK" w:eastAsia="sk-SK"/>
              </w:rPr>
              <w:t>proklientsky</w:t>
            </w:r>
            <w:proofErr w:type="spellEnd"/>
            <w:r w:rsidRPr="00747A30">
              <w:rPr>
                <w:lang w:val="sk-SK" w:eastAsia="sk-SK"/>
              </w:rPr>
              <w:t xml:space="preserve"> prístup, zvýšenie počtu vybavených klientov</w:t>
            </w:r>
          </w:p>
        </w:tc>
        <w:tc>
          <w:tcPr>
            <w:tcW w:w="1576" w:type="dxa"/>
            <w:shd w:val="clear" w:color="auto" w:fill="auto"/>
          </w:tcPr>
          <w:p w14:paraId="5D374471" w14:textId="578C7644" w:rsidR="00DD7660" w:rsidRPr="00747A30" w:rsidRDefault="00DD7660" w:rsidP="00DD7660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PO a občania ako prijímatelia služieb (nepriama cieľová skupina) </w:t>
            </w:r>
          </w:p>
        </w:tc>
        <w:tc>
          <w:tcPr>
            <w:tcW w:w="3663" w:type="dxa"/>
            <w:shd w:val="clear" w:color="auto" w:fill="auto"/>
          </w:tcPr>
          <w:p w14:paraId="2C498582" w14:textId="42A1EA91" w:rsidR="00DD7660" w:rsidRPr="00747A30" w:rsidRDefault="00DD7660" w:rsidP="00DD7660">
            <w:pPr>
              <w:rPr>
                <w:lang w:val="sk-SK"/>
              </w:rPr>
            </w:pPr>
            <w:r w:rsidRPr="00747A30">
              <w:rPr>
                <w:lang w:val="sk-SK"/>
              </w:rPr>
              <w:t>Dopady sa týkajú všetkých fyzických a právnických osôb, avšak presné číslo nie je možné stanoviť, nakoľko využitie služieb nie je možné predvídať.</w:t>
            </w:r>
          </w:p>
        </w:tc>
      </w:tr>
      <w:tr w:rsidR="003A0517" w:rsidRPr="00747A30" w14:paraId="0123B383" w14:textId="77777777" w:rsidTr="00AD549D">
        <w:tc>
          <w:tcPr>
            <w:tcW w:w="3823" w:type="dxa"/>
            <w:shd w:val="clear" w:color="auto" w:fill="CCC0D9"/>
          </w:tcPr>
          <w:p w14:paraId="0A7B89AD" w14:textId="1E12E262" w:rsidR="003A0517" w:rsidRPr="00747A30" w:rsidRDefault="003A0517" w:rsidP="008869D2">
            <w:pPr>
              <w:rPr>
                <w:lang w:val="sk-SK" w:eastAsia="sk-SK"/>
              </w:rPr>
            </w:pPr>
            <w:r w:rsidRPr="00747A30">
              <w:rPr>
                <w:lang w:val="sk-SK"/>
              </w:rPr>
              <w:t xml:space="preserve">Zlepšenie a skvalitnenie poskytovania integrovaných </w:t>
            </w:r>
            <w:proofErr w:type="spellStart"/>
            <w:r w:rsidRPr="00747A30">
              <w:rPr>
                <w:lang w:val="sk-SK"/>
              </w:rPr>
              <w:t>proklientsky</w:t>
            </w:r>
            <w:proofErr w:type="spellEnd"/>
            <w:r w:rsidRPr="00747A30">
              <w:rPr>
                <w:lang w:val="sk-SK"/>
              </w:rPr>
              <w:t xml:space="preserve"> orientovaných služieb občanom </w:t>
            </w:r>
            <w:r w:rsidR="008869D2" w:rsidRPr="00747A30">
              <w:rPr>
                <w:lang w:val="sk-SK"/>
              </w:rPr>
              <w:t>na úsekoch špecializovaných odborov</w:t>
            </w:r>
          </w:p>
        </w:tc>
        <w:tc>
          <w:tcPr>
            <w:tcW w:w="1576" w:type="dxa"/>
            <w:shd w:val="clear" w:color="auto" w:fill="auto"/>
          </w:tcPr>
          <w:p w14:paraId="405D6194" w14:textId="55837BA7" w:rsidR="003A0517" w:rsidRPr="00747A30" w:rsidRDefault="003A0517" w:rsidP="008869D2">
            <w:pPr>
              <w:rPr>
                <w:lang w:val="sk-SK"/>
              </w:rPr>
            </w:pPr>
            <w:r w:rsidRPr="00747A30">
              <w:rPr>
                <w:lang w:val="sk-SK"/>
              </w:rPr>
              <w:t>PO a občania ako prijímatelia služieb (nepriama cieľová skupina)</w:t>
            </w:r>
          </w:p>
        </w:tc>
        <w:tc>
          <w:tcPr>
            <w:tcW w:w="3663" w:type="dxa"/>
            <w:shd w:val="clear" w:color="auto" w:fill="auto"/>
          </w:tcPr>
          <w:p w14:paraId="5975394A" w14:textId="58E5DDE3" w:rsidR="003A0517" w:rsidRPr="00747A30" w:rsidRDefault="003A0517" w:rsidP="003A0517">
            <w:pPr>
              <w:rPr>
                <w:lang w:val="sk-SK"/>
              </w:rPr>
            </w:pPr>
            <w:r w:rsidRPr="00747A30">
              <w:rPr>
                <w:lang w:val="sk-SK"/>
              </w:rPr>
              <w:t>Dopady sa týkajú všetkých fyzických a právnických osôb, ktorí sa hlásia k príslušníkom národnostných menšín, avšak presné číslo nie je možné stanoviť, nakoľko využitie služieb nie je možné predvídať.</w:t>
            </w:r>
          </w:p>
        </w:tc>
      </w:tr>
    </w:tbl>
    <w:p w14:paraId="3B06EA2E" w14:textId="77777777" w:rsidR="00E24719" w:rsidRPr="00747A30" w:rsidRDefault="00E24719" w:rsidP="00E24719">
      <w:pPr>
        <w:spacing w:line="276" w:lineRule="auto"/>
        <w:jc w:val="both"/>
        <w:rPr>
          <w:lang w:val="sk-SK"/>
        </w:rPr>
      </w:pPr>
      <w:r w:rsidRPr="00747A30">
        <w:rPr>
          <w:i/>
          <w:lang w:val="sk-SK"/>
        </w:rPr>
        <w:t>V prípade viacerých cieľových skupín, doplňte dopady na každú z nich.</w:t>
      </w:r>
    </w:p>
    <w:p w14:paraId="1352CB58" w14:textId="77777777" w:rsidR="00E24719" w:rsidRPr="00747A30" w:rsidRDefault="00E24719" w:rsidP="00E24719">
      <w:pPr>
        <w:rPr>
          <w:lang w:val="sk-SK"/>
        </w:rPr>
      </w:pPr>
    </w:p>
    <w:p w14:paraId="6A4FA045" w14:textId="77777777" w:rsidR="00E24719" w:rsidRPr="00747A30" w:rsidRDefault="00E24719" w:rsidP="00E24719">
      <w:pPr>
        <w:pStyle w:val="Odsekzoznamu"/>
        <w:numPr>
          <w:ilvl w:val="0"/>
          <w:numId w:val="31"/>
        </w:numPr>
        <w:contextualSpacing w:val="0"/>
        <w:rPr>
          <w:lang w:val="sk-SK"/>
        </w:rPr>
      </w:pPr>
      <w:r w:rsidRPr="00747A30">
        <w:rPr>
          <w:lang w:val="sk-SK"/>
        </w:rPr>
        <w:t>Aktivity</w:t>
      </w:r>
    </w:p>
    <w:p w14:paraId="0BC464D7" w14:textId="77777777" w:rsidR="00E24719" w:rsidRPr="00747A30" w:rsidRDefault="00E24719" w:rsidP="00E24719">
      <w:pPr>
        <w:rPr>
          <w:lang w:val="sk-SK"/>
        </w:rPr>
      </w:pPr>
      <w:r w:rsidRPr="00747A30">
        <w:rPr>
          <w:lang w:val="sk-SK"/>
        </w:rPr>
        <w:t xml:space="preserve">a) Uveďte detailnejší popis aktivít. </w:t>
      </w:r>
    </w:p>
    <w:p w14:paraId="08C5CBF3" w14:textId="09FB9A67" w:rsidR="00211423" w:rsidRPr="00747A30" w:rsidRDefault="00211423" w:rsidP="00211423">
      <w:pPr>
        <w:rPr>
          <w:b/>
          <w:lang w:val="sk-SK"/>
        </w:rPr>
      </w:pPr>
      <w:r w:rsidRPr="00747A30">
        <w:rPr>
          <w:b/>
          <w:lang w:val="sk-SK"/>
        </w:rPr>
        <w:t xml:space="preserve">Aktivita 1 – Podpora </w:t>
      </w:r>
      <w:r w:rsidR="008869D2" w:rsidRPr="00747A30">
        <w:rPr>
          <w:b/>
          <w:lang w:val="sk-SK"/>
        </w:rPr>
        <w:t xml:space="preserve">najexponovanejších </w:t>
      </w:r>
      <w:r w:rsidR="00152CDC">
        <w:rPr>
          <w:b/>
          <w:lang w:val="sk-SK"/>
        </w:rPr>
        <w:t>agendových útvarov</w:t>
      </w:r>
      <w:r w:rsidR="00152CDC" w:rsidRPr="00747A30">
        <w:rPr>
          <w:b/>
          <w:lang w:val="sk-SK"/>
        </w:rPr>
        <w:t xml:space="preserve"> </w:t>
      </w:r>
      <w:r w:rsidR="008869D2" w:rsidRPr="00747A30">
        <w:rPr>
          <w:b/>
          <w:lang w:val="sk-SK"/>
        </w:rPr>
        <w:t>okresných úradov</w:t>
      </w:r>
    </w:p>
    <w:p w14:paraId="272DD7CF" w14:textId="77777777" w:rsidR="00211423" w:rsidRPr="00747A30" w:rsidRDefault="00211423" w:rsidP="00211423">
      <w:pPr>
        <w:rPr>
          <w:b/>
          <w:lang w:val="sk-SK"/>
        </w:rPr>
      </w:pPr>
    </w:p>
    <w:p w14:paraId="2F84AEA0" w14:textId="015D305F" w:rsidR="00211423" w:rsidRPr="00747A30" w:rsidRDefault="00211423" w:rsidP="00211423">
      <w:pPr>
        <w:jc w:val="both"/>
        <w:rPr>
          <w:lang w:val="sk-SK"/>
        </w:rPr>
      </w:pPr>
      <w:r w:rsidRPr="00747A30">
        <w:rPr>
          <w:lang w:val="sk-SK"/>
        </w:rPr>
        <w:lastRenderedPageBreak/>
        <w:t xml:space="preserve">Cieľom aktivity je stabilizácia </w:t>
      </w:r>
      <w:r w:rsidR="008869D2" w:rsidRPr="00747A30">
        <w:rPr>
          <w:lang w:val="sk-SK"/>
        </w:rPr>
        <w:t>a pos</w:t>
      </w:r>
      <w:r w:rsidR="00FB1D7F" w:rsidRPr="00747A30">
        <w:rPr>
          <w:lang w:val="sk-SK"/>
        </w:rPr>
        <w:t>i</w:t>
      </w:r>
      <w:r w:rsidR="008869D2" w:rsidRPr="00747A30">
        <w:rPr>
          <w:lang w:val="sk-SK"/>
        </w:rPr>
        <w:t xml:space="preserve">lnenie </w:t>
      </w:r>
      <w:r w:rsidRPr="00747A30">
        <w:rPr>
          <w:lang w:val="sk-SK"/>
        </w:rPr>
        <w:t>výkonu miestnej štátnej správy</w:t>
      </w:r>
      <w:r w:rsidR="008869D2" w:rsidRPr="00747A30">
        <w:rPr>
          <w:lang w:val="sk-SK"/>
        </w:rPr>
        <w:t xml:space="preserve"> </w:t>
      </w:r>
      <w:r w:rsidRPr="00747A30">
        <w:rPr>
          <w:lang w:val="sk-SK"/>
        </w:rPr>
        <w:t xml:space="preserve"> s dôrazom na </w:t>
      </w:r>
      <w:proofErr w:type="spellStart"/>
      <w:r w:rsidRPr="00747A30">
        <w:rPr>
          <w:lang w:val="sk-SK"/>
        </w:rPr>
        <w:t>proklientsky</w:t>
      </w:r>
      <w:proofErr w:type="spellEnd"/>
      <w:r w:rsidRPr="00747A30">
        <w:rPr>
          <w:lang w:val="sk-SK"/>
        </w:rPr>
        <w:t xml:space="preserve"> orientovaný prístup k občanovi  a k podnikateľským subjektom, a to  najmä prostredníctvom podpory </w:t>
      </w:r>
      <w:r w:rsidR="008869D2" w:rsidRPr="00747A30">
        <w:rPr>
          <w:lang w:val="sk-SK"/>
        </w:rPr>
        <w:t>administratívnych kapacít špecializovaných odborov klientskych pracovísk</w:t>
      </w:r>
      <w:r w:rsidR="00FB1D7F" w:rsidRPr="00747A30">
        <w:rPr>
          <w:lang w:val="sk-SK"/>
        </w:rPr>
        <w:t>.</w:t>
      </w:r>
      <w:r w:rsidR="008869D2" w:rsidRPr="00747A30">
        <w:rPr>
          <w:highlight w:val="yellow"/>
          <w:lang w:val="sk-SK"/>
        </w:rPr>
        <w:t xml:space="preserve"> </w:t>
      </w:r>
    </w:p>
    <w:p w14:paraId="0C006B91" w14:textId="65FEF95C" w:rsidR="00116861" w:rsidRPr="00747A30" w:rsidRDefault="00211423" w:rsidP="00FB1D7F">
      <w:pPr>
        <w:spacing w:before="120" w:after="120"/>
        <w:jc w:val="both"/>
        <w:rPr>
          <w:lang w:val="sk-SK"/>
        </w:rPr>
      </w:pPr>
      <w:r w:rsidRPr="00747A30">
        <w:rPr>
          <w:lang w:val="sk-SK"/>
        </w:rPr>
        <w:t xml:space="preserve">Predmetom aktivity bude zvyšovanie </w:t>
      </w:r>
      <w:r w:rsidR="00B71C85" w:rsidRPr="00747A30">
        <w:rPr>
          <w:lang w:val="sk-SK"/>
        </w:rPr>
        <w:t>kvality</w:t>
      </w:r>
      <w:r w:rsidRPr="00747A30">
        <w:rPr>
          <w:lang w:val="sk-SK"/>
        </w:rPr>
        <w:t xml:space="preserve"> služieb verejnej správy, stabilizácia </w:t>
      </w:r>
      <w:r w:rsidR="00B71C85" w:rsidRPr="00747A30">
        <w:rPr>
          <w:lang w:val="sk-SK"/>
        </w:rPr>
        <w:t xml:space="preserve">a posilnenie </w:t>
      </w:r>
      <w:r w:rsidRPr="00747A30">
        <w:rPr>
          <w:lang w:val="sk-SK"/>
        </w:rPr>
        <w:t>výkonu štátnej správy</w:t>
      </w:r>
      <w:r w:rsidR="00116861" w:rsidRPr="00747A30">
        <w:rPr>
          <w:lang w:val="sk-SK"/>
        </w:rPr>
        <w:t xml:space="preserve"> na </w:t>
      </w:r>
      <w:r w:rsidR="00C23DB9" w:rsidRPr="00747A30">
        <w:rPr>
          <w:lang w:val="sk-SK"/>
        </w:rPr>
        <w:t xml:space="preserve">vybraných </w:t>
      </w:r>
      <w:r w:rsidR="00116861" w:rsidRPr="00747A30">
        <w:rPr>
          <w:lang w:val="sk-SK"/>
        </w:rPr>
        <w:t>úsekoch:</w:t>
      </w:r>
    </w:p>
    <w:p w14:paraId="6CA37152" w14:textId="09DCDC29" w:rsidR="00116861" w:rsidRPr="00747A30" w:rsidRDefault="00116861" w:rsidP="00FB1D7F">
      <w:pPr>
        <w:pStyle w:val="Odsekzoznamu"/>
        <w:numPr>
          <w:ilvl w:val="0"/>
          <w:numId w:val="34"/>
        </w:numPr>
        <w:spacing w:before="120" w:after="120"/>
        <w:jc w:val="both"/>
        <w:rPr>
          <w:lang w:val="sk-SK"/>
        </w:rPr>
      </w:pPr>
      <w:r w:rsidRPr="00747A30">
        <w:rPr>
          <w:lang w:val="sk-SK"/>
        </w:rPr>
        <w:t>Katastrálny odbor</w:t>
      </w:r>
    </w:p>
    <w:p w14:paraId="79883EE4" w14:textId="36F7F6D0" w:rsidR="00116861" w:rsidRPr="00747A30" w:rsidRDefault="00116861" w:rsidP="00FB1D7F">
      <w:pPr>
        <w:pStyle w:val="Odsekzoznamu"/>
        <w:numPr>
          <w:ilvl w:val="0"/>
          <w:numId w:val="34"/>
        </w:numPr>
        <w:spacing w:before="120" w:after="120"/>
        <w:jc w:val="both"/>
        <w:rPr>
          <w:lang w:val="sk-SK"/>
        </w:rPr>
      </w:pPr>
      <w:r w:rsidRPr="00747A30">
        <w:rPr>
          <w:lang w:val="sk-SK"/>
        </w:rPr>
        <w:t>Odbor starostlivosti o životné prostredie</w:t>
      </w:r>
    </w:p>
    <w:p w14:paraId="2133A3DD" w14:textId="77777777" w:rsidR="00116861" w:rsidRPr="00747A30" w:rsidRDefault="00116861" w:rsidP="00FB1D7F">
      <w:pPr>
        <w:pStyle w:val="Odsekzoznamu"/>
        <w:numPr>
          <w:ilvl w:val="0"/>
          <w:numId w:val="34"/>
        </w:numPr>
        <w:spacing w:before="120" w:after="120"/>
        <w:jc w:val="both"/>
        <w:rPr>
          <w:lang w:val="sk-SK"/>
        </w:rPr>
      </w:pPr>
      <w:r w:rsidRPr="00747A30">
        <w:rPr>
          <w:lang w:val="sk-SK"/>
        </w:rPr>
        <w:t>Pozemkový a lesný odbor</w:t>
      </w:r>
    </w:p>
    <w:p w14:paraId="6296AB18" w14:textId="77777777" w:rsidR="00116861" w:rsidRPr="00747A30" w:rsidRDefault="00116861" w:rsidP="00FB1D7F">
      <w:pPr>
        <w:pStyle w:val="Odsekzoznamu"/>
        <w:numPr>
          <w:ilvl w:val="0"/>
          <w:numId w:val="34"/>
        </w:numPr>
        <w:spacing w:before="120" w:after="120"/>
        <w:jc w:val="both"/>
        <w:rPr>
          <w:lang w:val="sk-SK"/>
        </w:rPr>
      </w:pPr>
      <w:r w:rsidRPr="00747A30">
        <w:rPr>
          <w:lang w:val="sk-SK"/>
        </w:rPr>
        <w:t>Odbor výstavby a bytovej politiky</w:t>
      </w:r>
    </w:p>
    <w:p w14:paraId="6BC07AE6" w14:textId="302B9C65" w:rsidR="00211423" w:rsidRPr="00747A30" w:rsidRDefault="00116861" w:rsidP="00FB1D7F">
      <w:pPr>
        <w:pStyle w:val="Odsekzoznamu"/>
        <w:numPr>
          <w:ilvl w:val="0"/>
          <w:numId w:val="34"/>
        </w:numPr>
        <w:spacing w:before="120" w:after="120"/>
        <w:jc w:val="both"/>
        <w:rPr>
          <w:lang w:val="sk-SK"/>
        </w:rPr>
      </w:pPr>
      <w:r w:rsidRPr="00747A30">
        <w:rPr>
          <w:lang w:val="sk-SK"/>
        </w:rPr>
        <w:t>Odbor reštitúcií pre bývalý vojenský obvod Javorina</w:t>
      </w:r>
    </w:p>
    <w:p w14:paraId="2202A256" w14:textId="7624C2CE" w:rsidR="00116861" w:rsidRPr="00747A30" w:rsidRDefault="006341AB" w:rsidP="00FB1D7F">
      <w:pPr>
        <w:spacing w:before="120" w:after="120"/>
        <w:jc w:val="both"/>
        <w:rPr>
          <w:lang w:val="sk-SK"/>
        </w:rPr>
      </w:pPr>
      <w:r w:rsidRPr="00747A30">
        <w:rPr>
          <w:lang w:val="sk-SK"/>
        </w:rPr>
        <w:t xml:space="preserve">V neposlednom rade negatívny vplyv na dodržiavanie lehôt majú aj mimoriadne situácie, ako je aktuálna </w:t>
      </w:r>
      <w:proofErr w:type="spellStart"/>
      <w:r w:rsidRPr="00747A30">
        <w:rPr>
          <w:lang w:val="sk-SK"/>
        </w:rPr>
        <w:t>pandemická</w:t>
      </w:r>
      <w:proofErr w:type="spellEnd"/>
      <w:r w:rsidRPr="00747A30">
        <w:rPr>
          <w:lang w:val="sk-SK"/>
        </w:rPr>
        <w:t xml:space="preserve"> kríza, ktorá spomalila aj výkon štátnej správy.</w:t>
      </w:r>
    </w:p>
    <w:p w14:paraId="7DEEBCA9" w14:textId="7A68327E" w:rsidR="00835CFA" w:rsidRDefault="007B113B" w:rsidP="002C58B2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  <w:r w:rsidRPr="00747A30">
        <w:rPr>
          <w:lang w:val="sk-SK"/>
        </w:rPr>
        <w:t>Na základe horeuvedených skutočností bude predmetom aktivity podpora</w:t>
      </w:r>
      <w:r w:rsidR="00152CDC">
        <w:rPr>
          <w:lang w:val="sk-SK"/>
        </w:rPr>
        <w:t xml:space="preserve"> </w:t>
      </w:r>
      <w:r w:rsidRPr="00747A30">
        <w:rPr>
          <w:lang w:val="sk-SK"/>
        </w:rPr>
        <w:t xml:space="preserve">existujúcich pracovných miest na špecializovaných odboroch a vytvorenie nových pracovných pozícií podľa geografických a individuálnych </w:t>
      </w:r>
      <w:r w:rsidR="00D51E99" w:rsidRPr="00747A30">
        <w:rPr>
          <w:lang w:val="sk-SK"/>
        </w:rPr>
        <w:t>kritérií</w:t>
      </w:r>
      <w:r w:rsidR="002E1880" w:rsidRPr="00747A30">
        <w:rPr>
          <w:lang w:val="sk-SK"/>
        </w:rPr>
        <w:t>, napr. vytvorenie štyroch vysunutých centralizovaných pracovísk katastrálnych odborov pre západné, stredné a východné Slovensko.</w:t>
      </w:r>
      <w:r w:rsidR="006D1476">
        <w:rPr>
          <w:lang w:val="sk-SK"/>
        </w:rPr>
        <w:t xml:space="preserve"> Pracoviská budú</w:t>
      </w:r>
      <w:r w:rsidR="006D1476" w:rsidRPr="006D1476">
        <w:rPr>
          <w:lang w:val="sk-SK"/>
        </w:rPr>
        <w:t xml:space="preserve"> schopné flexibilne reagovať na problémy s dodržiavaním lehôt pre všetky katastrálne odbory v rámci ich územnej pôsobnosti. Uvedené </w:t>
      </w:r>
      <w:r w:rsidR="006D1476">
        <w:rPr>
          <w:lang w:val="sk-SK"/>
        </w:rPr>
        <w:t>4</w:t>
      </w:r>
      <w:r w:rsidR="006D1476" w:rsidRPr="006D1476">
        <w:rPr>
          <w:lang w:val="sk-SK"/>
        </w:rPr>
        <w:t xml:space="preserve"> pracoviská budú organizačne súčasťou katastrálnych odborov na okresných úradoch v Nitre, Banskej Bystrici</w:t>
      </w:r>
      <w:r w:rsidR="002102CF">
        <w:rPr>
          <w:lang w:val="sk-SK"/>
        </w:rPr>
        <w:t>, Žiline</w:t>
      </w:r>
      <w:r w:rsidR="00A94589">
        <w:rPr>
          <w:lang w:val="sk-SK"/>
        </w:rPr>
        <w:t xml:space="preserve"> </w:t>
      </w:r>
      <w:r w:rsidR="006D1476" w:rsidRPr="006D1476">
        <w:rPr>
          <w:lang w:val="sk-SK"/>
        </w:rPr>
        <w:t>a Košiciach, pričom však budú z pohľadu miestneho výkonu agendy podliehať priamej riadiacej pôsobnosti príslušného ústredného orgánu štátnej správy, a teda Úradu geodézie, kartografie a katastra Slovenskej republiky. Predseda tohto úradu má zákonné oprávnenie podľa § 43a zákona č. 162/1995 Z. z. o katastri nehnuteľností a o zápise vlastníckych a iných práv k nehnuteľnostiam (katastrálny zákon), prikázať inému katastrálnemu odboru výpomoc v záujme dodržiavania zákonných lehôt pre vydanie rozhodnutia. Technicky bude výpomoc zabezpečená prostredníctvom agendového informačného systému, tzv. WRKN, ktorý umožňuje vydávať rozhodnutia a vykonávať zápisy, resp. overenia geometrických plánov, bez ohľadu na miestnu príslušnosť.</w:t>
      </w:r>
    </w:p>
    <w:p w14:paraId="7BB71CE6" w14:textId="65307D6D" w:rsidR="00E936B3" w:rsidRDefault="00835CFA" w:rsidP="002C58B2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  <w:r w:rsidRPr="00835CFA">
        <w:rPr>
          <w:lang w:val="sk-SK"/>
        </w:rPr>
        <w:t>Jednou z úloh Vlády SR vyjadrených v Programovom vyhlásení vlády SR je, že zabezpečí ukončenie reštitučných konaní, vysporiadanie pozemkov v záhradkárskych osadách, ukončenie konaní o zostavení ROEP a nápravu zrejmých krívd spôsobených v týchto konaniach.</w:t>
      </w:r>
      <w:r w:rsidRPr="00835CFA">
        <w:t xml:space="preserve"> </w:t>
      </w:r>
      <w:r w:rsidRPr="00835CFA">
        <w:rPr>
          <w:lang w:val="sk-SK"/>
        </w:rPr>
        <w:t>V konečnom dôsledku samotnú realizáciu týchto krokov musia zabezpečiť zamestnanc</w:t>
      </w:r>
      <w:r>
        <w:rPr>
          <w:lang w:val="sk-SK"/>
        </w:rPr>
        <w:t xml:space="preserve">i pozemkových a lesných odborov, preto aj tieto agendy sú predmetom realizácie národného projektu. </w:t>
      </w:r>
      <w:r w:rsidR="00231774">
        <w:rPr>
          <w:lang w:val="sk-SK"/>
        </w:rPr>
        <w:t xml:space="preserve">Podpora týchto odborov vrátane odboru reštitúcií a pre bývalý vojenský obvod Javorina je zacielený na </w:t>
      </w:r>
      <w:r w:rsidR="00E936B3" w:rsidRPr="00E936B3">
        <w:rPr>
          <w:lang w:val="sk-SK"/>
        </w:rPr>
        <w:t>dosiahnu</w:t>
      </w:r>
      <w:r w:rsidR="00231774">
        <w:rPr>
          <w:lang w:val="sk-SK"/>
        </w:rPr>
        <w:t>tie</w:t>
      </w:r>
      <w:r w:rsidR="00E936B3" w:rsidRPr="00E936B3">
        <w:rPr>
          <w:lang w:val="sk-SK"/>
        </w:rPr>
        <w:t xml:space="preserve"> zlepšeni</w:t>
      </w:r>
      <w:r w:rsidR="00231774">
        <w:rPr>
          <w:lang w:val="sk-SK"/>
        </w:rPr>
        <w:t>a</w:t>
      </w:r>
      <w:r w:rsidR="00E936B3" w:rsidRPr="00E936B3">
        <w:rPr>
          <w:lang w:val="sk-SK"/>
        </w:rPr>
        <w:t xml:space="preserve"> starostlivosti o poľnohospodársku a lesnú pôdu obnovením pôvodných vlastníckych vzťahov k pôde a </w:t>
      </w:r>
      <w:r w:rsidR="00231774">
        <w:rPr>
          <w:lang w:val="sk-SK"/>
        </w:rPr>
        <w:t>ú</w:t>
      </w:r>
      <w:r w:rsidR="00E936B3" w:rsidRPr="00E936B3">
        <w:rPr>
          <w:lang w:val="sk-SK"/>
        </w:rPr>
        <w:t>prav</w:t>
      </w:r>
      <w:r w:rsidR="00231774">
        <w:rPr>
          <w:lang w:val="sk-SK"/>
        </w:rPr>
        <w:t>a</w:t>
      </w:r>
      <w:r w:rsidR="00E936B3" w:rsidRPr="00E936B3">
        <w:rPr>
          <w:lang w:val="sk-SK"/>
        </w:rPr>
        <w:t xml:space="preserve"> vlastníck</w:t>
      </w:r>
      <w:r w:rsidR="00231774">
        <w:rPr>
          <w:lang w:val="sk-SK"/>
        </w:rPr>
        <w:t>ych</w:t>
      </w:r>
      <w:r w:rsidR="00E936B3" w:rsidRPr="00E936B3">
        <w:rPr>
          <w:lang w:val="sk-SK"/>
        </w:rPr>
        <w:t xml:space="preserve"> vzťah</w:t>
      </w:r>
      <w:r w:rsidR="00231774">
        <w:rPr>
          <w:lang w:val="sk-SK"/>
        </w:rPr>
        <w:t>ov</w:t>
      </w:r>
      <w:r w:rsidR="00E936B3" w:rsidRPr="00E936B3">
        <w:rPr>
          <w:lang w:val="sk-SK"/>
        </w:rPr>
        <w:t xml:space="preserve"> k pôde v súlade so záujmami hospodárskeho rozvoja vidieka aj v súlade s požiadavkami na tvorbu krajiny a životného prostredia.</w:t>
      </w:r>
    </w:p>
    <w:p w14:paraId="428B72DE" w14:textId="1048A374" w:rsidR="00FA1064" w:rsidRDefault="00E73D28" w:rsidP="002C58B2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  <w:r w:rsidRPr="00D32C71">
        <w:rPr>
          <w:lang w:val="sk-SK"/>
        </w:rPr>
        <w:t xml:space="preserve">Posilnením a podporou </w:t>
      </w:r>
      <w:r w:rsidR="00FA1064" w:rsidRPr="00D32C71">
        <w:rPr>
          <w:lang w:val="sk-SK"/>
        </w:rPr>
        <w:t xml:space="preserve">personálnych kapacít  na úseku odboru katastra a odboru pozemkového a lesného a ďalších sa zabezpečí efektívnejší a rýchlejší priebeh </w:t>
      </w:r>
      <w:r w:rsidR="00D32C71">
        <w:rPr>
          <w:lang w:val="sk-SK"/>
        </w:rPr>
        <w:t>konaní a k samotnej realizácii</w:t>
      </w:r>
      <w:r w:rsidR="00FA1064" w:rsidRPr="00D32C71">
        <w:rPr>
          <w:lang w:val="sk-SK"/>
        </w:rPr>
        <w:t xml:space="preserve"> pozemkových úprav. Pozemkové úpravy sú najefektívnejším spôsobom ako vyriešiť dlhodobý problém rozdrobenosti vlastníctva.</w:t>
      </w:r>
    </w:p>
    <w:p w14:paraId="57B7856C" w14:textId="77777777" w:rsidR="00FA1064" w:rsidRDefault="00FA1064" w:rsidP="002C58B2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</w:p>
    <w:p w14:paraId="78490488" w14:textId="009671D4" w:rsidR="00FA1064" w:rsidRDefault="00E73D28" w:rsidP="002C58B2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  <w:r>
        <w:rPr>
          <w:lang w:val="sk-SK"/>
        </w:rPr>
        <w:lastRenderedPageBreak/>
        <w:t>Podpora</w:t>
      </w:r>
      <w:r w:rsidR="00FA1064">
        <w:rPr>
          <w:lang w:val="sk-SK"/>
        </w:rPr>
        <w:t xml:space="preserve"> personálnych kapacít bude zacielená aj na odbor starostlivosti o životné </w:t>
      </w:r>
      <w:r w:rsidR="00FA1064" w:rsidRPr="008C22E5">
        <w:rPr>
          <w:lang w:val="sk-SK"/>
        </w:rPr>
        <w:t xml:space="preserve">prostredie, nakoľko </w:t>
      </w:r>
      <w:r w:rsidR="008C22E5" w:rsidRPr="008C22E5">
        <w:rPr>
          <w:lang w:val="sk-SK"/>
        </w:rPr>
        <w:t xml:space="preserve">patrí medzi najvyťaženejšie agendy.  K časovým sklzom vybavenia prispieva </w:t>
      </w:r>
      <w:r w:rsidR="00FA1064" w:rsidRPr="008C22E5">
        <w:rPr>
          <w:lang w:val="sk-SK"/>
        </w:rPr>
        <w:t xml:space="preserve">zvýšenie počtu odvolaní podávaných voči prvostupňovým rozhodnutiam, enormný </w:t>
      </w:r>
      <w:r w:rsidR="008C22E5" w:rsidRPr="008C22E5">
        <w:rPr>
          <w:lang w:val="sk-SK"/>
        </w:rPr>
        <w:t>nárast žiadostí</w:t>
      </w:r>
      <w:r w:rsidR="00FA1064" w:rsidRPr="008C22E5">
        <w:rPr>
          <w:lang w:val="sk-SK"/>
        </w:rPr>
        <w:t xml:space="preserve"> o poskytnutie informácií podľa zákona č. 211/2010 Z. z. o slobodnom prístupe k informáciám, zvýšený záujem </w:t>
      </w:r>
      <w:r w:rsidR="00FA1064" w:rsidRPr="008C22E5">
        <w:rPr>
          <w:rFonts w:ascii="Times New Roman" w:hAnsi="Times New Roman"/>
          <w:lang w:val="sk-SK"/>
        </w:rPr>
        <w:t xml:space="preserve">občanov na preskúmanie zákonnosti konajúcich okresných úradov, či vykonávanie kontrol </w:t>
      </w:r>
      <w:r w:rsidR="008C22E5" w:rsidRPr="008C22E5">
        <w:rPr>
          <w:rFonts w:ascii="Times New Roman" w:hAnsi="Times New Roman"/>
          <w:lang w:val="sk-SK"/>
        </w:rPr>
        <w:t xml:space="preserve">zamestnancami odborov starostlivosti o životné prostredie zamierené na dodržiavanie </w:t>
      </w:r>
      <w:r w:rsidR="00FA1064" w:rsidRPr="008C22E5">
        <w:rPr>
          <w:rFonts w:ascii="Times New Roman" w:hAnsi="Times New Roman"/>
          <w:lang w:val="sk-SK"/>
        </w:rPr>
        <w:t>legislatívnych noriem</w:t>
      </w:r>
      <w:r w:rsidR="008C22E5" w:rsidRPr="008C22E5">
        <w:rPr>
          <w:rFonts w:ascii="Times New Roman" w:hAnsi="Times New Roman"/>
          <w:lang w:val="sk-SK"/>
        </w:rPr>
        <w:t>.</w:t>
      </w:r>
      <w:r w:rsidR="008C22E5">
        <w:rPr>
          <w:rFonts w:ascii="Times New Roman" w:hAnsi="Times New Roman"/>
        </w:rPr>
        <w:t xml:space="preserve">  </w:t>
      </w:r>
    </w:p>
    <w:p w14:paraId="44B43F80" w14:textId="35497D74" w:rsidR="003C1C99" w:rsidRPr="00201900" w:rsidRDefault="003C1C99" w:rsidP="00201900">
      <w:pPr>
        <w:jc w:val="both"/>
        <w:rPr>
          <w:lang w:val="sk-SK"/>
        </w:rPr>
      </w:pPr>
      <w:r>
        <w:rPr>
          <w:lang w:val="sk-SK"/>
        </w:rPr>
        <w:t>Agenda</w:t>
      </w:r>
      <w:r w:rsidR="009C1D67">
        <w:rPr>
          <w:lang w:val="sk-SK"/>
        </w:rPr>
        <w:t xml:space="preserve"> </w:t>
      </w:r>
      <w:r>
        <w:rPr>
          <w:lang w:val="sk-SK"/>
        </w:rPr>
        <w:t>o</w:t>
      </w:r>
      <w:r w:rsidR="009C1D67">
        <w:rPr>
          <w:lang w:val="sk-SK"/>
        </w:rPr>
        <w:t xml:space="preserve">dboru výstavby a bytovej politiky </w:t>
      </w:r>
      <w:r>
        <w:rPr>
          <w:lang w:val="sk-SK"/>
        </w:rPr>
        <w:t xml:space="preserve">určite patrí medzi najexponovanejšie útvary okresných úradov keďže </w:t>
      </w:r>
      <w:r w:rsidRPr="003C1C99">
        <w:rPr>
          <w:lang w:val="sk-SK"/>
        </w:rPr>
        <w:t xml:space="preserve">vykonáva činnosti stavebného úradu vo veciach územného konania a stavebného konania vrátane uskutočňovania činností pre stavy diaľnic, rýchlostných komunikácií alebo uskutočňovania významných investícií podľa osobitného prepisu. Nárast agendy je najmä pri výstavbe tzv. “Líniových stavieb” – rozširovanie diaľničnej a železničnej siete. Napr. </w:t>
      </w:r>
      <w:r>
        <w:rPr>
          <w:lang w:val="sk-SK"/>
        </w:rPr>
        <w:t>v Košickom kraji</w:t>
      </w:r>
      <w:r w:rsidRPr="003C1C99">
        <w:rPr>
          <w:lang w:val="sk-SK"/>
        </w:rPr>
        <w:t xml:space="preserve"> </w:t>
      </w:r>
      <w:r>
        <w:rPr>
          <w:lang w:val="sk-SK"/>
        </w:rPr>
        <w:t>je v súčasnosti</w:t>
      </w:r>
      <w:r w:rsidRPr="003C1C99">
        <w:rPr>
          <w:lang w:val="sk-SK"/>
        </w:rPr>
        <w:t xml:space="preserve"> zrejmý nárast vyvlastň</w:t>
      </w:r>
      <w:r>
        <w:rPr>
          <w:lang w:val="sk-SK"/>
        </w:rPr>
        <w:t>ovacích konaní v súvislosti so stavbou diaľnice D1, R3, prestavbou</w:t>
      </w:r>
      <w:r w:rsidRPr="003C1C99">
        <w:rPr>
          <w:lang w:val="sk-SK"/>
        </w:rPr>
        <w:t xml:space="preserve"> železničnej trate Mic</w:t>
      </w:r>
      <w:r>
        <w:rPr>
          <w:lang w:val="sk-SK"/>
        </w:rPr>
        <w:t>haľany – pre návrh rýchlosti</w:t>
      </w:r>
      <w:r w:rsidRPr="003C1C99">
        <w:rPr>
          <w:lang w:val="sk-SK"/>
        </w:rPr>
        <w:t xml:space="preserve"> 160 km/hod., ako aj verejnoprospešných stavieb pre mestá a obce – Obchvat Kavečany pre mesto Košice. </w:t>
      </w:r>
      <w:r w:rsidR="00201900">
        <w:rPr>
          <w:lang w:val="sk-SK"/>
        </w:rPr>
        <w:t xml:space="preserve">Okresné úrady nedisponujú </w:t>
      </w:r>
      <w:r w:rsidR="00201900" w:rsidRPr="00201900">
        <w:rPr>
          <w:lang w:val="sk-SK"/>
        </w:rPr>
        <w:t xml:space="preserve"> dostatočným počtom zamestnancov</w:t>
      </w:r>
      <w:r w:rsidR="00201900">
        <w:rPr>
          <w:lang w:val="sk-SK"/>
        </w:rPr>
        <w:t xml:space="preserve">, ktorí by to vedeli zabezpečiť, čoho dôsledkom je spomalenie celého procesu. </w:t>
      </w:r>
      <w:r w:rsidR="00201900" w:rsidRPr="00201900">
        <w:rPr>
          <w:lang w:val="sk-SK"/>
        </w:rPr>
        <w:t xml:space="preserve"> </w:t>
      </w:r>
    </w:p>
    <w:p w14:paraId="3D143BBC" w14:textId="5AD350E6" w:rsidR="003C1C99" w:rsidRPr="003C1C99" w:rsidRDefault="003C1C99" w:rsidP="003C1C99">
      <w:pPr>
        <w:jc w:val="both"/>
        <w:rPr>
          <w:lang w:val="sk-SK"/>
        </w:rPr>
      </w:pPr>
      <w:r>
        <w:rPr>
          <w:lang w:val="sk-SK"/>
        </w:rPr>
        <w:t xml:space="preserve">Agenda zahŕňa aj </w:t>
      </w:r>
      <w:r w:rsidRPr="003C1C99">
        <w:rPr>
          <w:lang w:val="sk-SK"/>
        </w:rPr>
        <w:t>nárast nových zmien a doplnkov územných plánov a realizácie nových územných plánov, čo</w:t>
      </w:r>
      <w:r>
        <w:rPr>
          <w:lang w:val="sk-SK"/>
        </w:rPr>
        <w:t xml:space="preserve"> vyplýva z požiadaviek</w:t>
      </w:r>
      <w:r w:rsidRPr="003C1C99">
        <w:rPr>
          <w:lang w:val="sk-SK"/>
        </w:rPr>
        <w:t xml:space="preserve"> E</w:t>
      </w:r>
      <w:r>
        <w:rPr>
          <w:lang w:val="sk-SK"/>
        </w:rPr>
        <w:t>Ú. N</w:t>
      </w:r>
      <w:r w:rsidRPr="003C1C99">
        <w:rPr>
          <w:lang w:val="sk-SK"/>
        </w:rPr>
        <w:t>árast</w:t>
      </w:r>
      <w:r>
        <w:rPr>
          <w:lang w:val="sk-SK"/>
        </w:rPr>
        <w:t xml:space="preserve"> práce</w:t>
      </w:r>
      <w:r w:rsidRPr="003C1C99">
        <w:rPr>
          <w:lang w:val="sk-SK"/>
        </w:rPr>
        <w:t xml:space="preserve"> </w:t>
      </w:r>
      <w:r>
        <w:rPr>
          <w:lang w:val="sk-SK"/>
        </w:rPr>
        <w:t xml:space="preserve">bol zaznamenaný </w:t>
      </w:r>
      <w:r w:rsidRPr="003C1C99">
        <w:rPr>
          <w:lang w:val="sk-SK"/>
        </w:rPr>
        <w:t>najmä</w:t>
      </w:r>
      <w:r>
        <w:rPr>
          <w:lang w:val="sk-SK"/>
        </w:rPr>
        <w:t xml:space="preserve"> </w:t>
      </w:r>
      <w:r w:rsidR="00BE2FA7">
        <w:rPr>
          <w:lang w:val="sk-SK"/>
        </w:rPr>
        <w:t>na</w:t>
      </w:r>
      <w:r>
        <w:rPr>
          <w:lang w:val="sk-SK"/>
        </w:rPr>
        <w:t xml:space="preserve"> úseku</w:t>
      </w:r>
      <w:r w:rsidRPr="003C1C99">
        <w:rPr>
          <w:lang w:val="sk-SK"/>
        </w:rPr>
        <w:t xml:space="preserve"> ekonomických a kontrolných činností a následných kontrol užívania nájomných bytov hlavne marginalizovaných skupín obyvateľstva.</w:t>
      </w:r>
    </w:p>
    <w:p w14:paraId="34B7A2B2" w14:textId="6116D9EE" w:rsidR="00BE2FA7" w:rsidRPr="00340D2C" w:rsidRDefault="00BE2FA7" w:rsidP="00340D2C">
      <w:pPr>
        <w:pStyle w:val="Odsekzoznamu"/>
        <w:tabs>
          <w:tab w:val="left" w:pos="1725"/>
        </w:tabs>
        <w:spacing w:before="120" w:after="120"/>
        <w:ind w:left="0"/>
        <w:contextualSpacing w:val="0"/>
        <w:jc w:val="both"/>
        <w:rPr>
          <w:lang w:val="sk-SK"/>
        </w:rPr>
      </w:pPr>
      <w:r w:rsidRPr="00340D2C">
        <w:rPr>
          <w:lang w:val="sk-SK"/>
        </w:rPr>
        <w:t xml:space="preserve">Realizácia projektu bude zacielená aj na vysporiadanie pozemkov, ktorú nelegálne využívajú marginalizované rómske komunity v osadách. S narastajúcou segregáciou osídlení a </w:t>
      </w:r>
      <w:proofErr w:type="spellStart"/>
      <w:r w:rsidRPr="00340D2C">
        <w:rPr>
          <w:lang w:val="sk-SK"/>
        </w:rPr>
        <w:t>marginalizáciou</w:t>
      </w:r>
      <w:proofErr w:type="spellEnd"/>
      <w:r w:rsidRPr="00340D2C">
        <w:rPr>
          <w:lang w:val="sk-SK"/>
        </w:rPr>
        <w:t xml:space="preserve"> osídlení či regiónov sa zvyšuje aj podiel obydlí, ktoré sú postavené nelegálne alebo nemajú vysporiadané pozemky, na ktorých stoja. Najvyšší výskyt takýchto nelegálnych obydlí bol zaznamenaný v najsegregovanejších a najmenej rozvinutých rómskych osadách. Z hľadiska geografického sa väčšina nelegálnych obydlí nachádza v Prešovskom a Košickom kraji.</w:t>
      </w:r>
    </w:p>
    <w:p w14:paraId="03E9514C" w14:textId="6FF56A5D" w:rsidR="00BE2FA7" w:rsidRPr="00340D2C" w:rsidRDefault="00BE2FA7" w:rsidP="00340D2C">
      <w:pPr>
        <w:pStyle w:val="Textkomentra"/>
        <w:jc w:val="both"/>
        <w:rPr>
          <w:sz w:val="24"/>
          <w:szCs w:val="24"/>
          <w:lang w:val="sk-SK"/>
        </w:rPr>
      </w:pPr>
      <w:r w:rsidRPr="00340D2C">
        <w:rPr>
          <w:sz w:val="24"/>
          <w:szCs w:val="24"/>
          <w:lang w:val="sk-SK"/>
        </w:rPr>
        <w:t xml:space="preserve">Na jednej strane vlastníci pozemkov, na ktorých sa nachádzajú rómske osady nemôžu svoj majetok reálne využívať, na druhej strane bez usporiadania právneho vzťahu k pozemku nie je možné legalizovať obydlie, ktoré sa na takomto pozemku nachádza. Dôsledkom nelegálneho statusu mnohých obydlí je, že k nim nie je možné pripojiť technickú vybavenosť, akou je vodovod, kanalizácia, plyn. Následkom je nízky štandard kvality a hygieny bývania s nepriaznivými dopadmi na zdravotný stav a celkovú kvalitu života obyvateľov takýchto obydlí. Na základe </w:t>
      </w:r>
      <w:r w:rsidR="00340D2C" w:rsidRPr="00340D2C">
        <w:rPr>
          <w:sz w:val="24"/>
          <w:szCs w:val="24"/>
          <w:lang w:val="sk-SK"/>
        </w:rPr>
        <w:t xml:space="preserve">vyššie uvedeného stavu je agenda zaoberajúca sa touto problematikou opodstatnená a podpora personálnych kapacít nevyhnutná.  </w:t>
      </w:r>
    </w:p>
    <w:p w14:paraId="1969CE53" w14:textId="53445EA9" w:rsidR="002E1880" w:rsidRDefault="00D51E99" w:rsidP="000C32FE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  <w:r w:rsidRPr="00747A30">
        <w:rPr>
          <w:lang w:val="sk-SK"/>
        </w:rPr>
        <w:t>Podporou a posilnením p</w:t>
      </w:r>
      <w:r w:rsidR="002E1880" w:rsidRPr="00747A30">
        <w:rPr>
          <w:lang w:val="sk-SK"/>
        </w:rPr>
        <w:t>ersonálnych</w:t>
      </w:r>
      <w:r w:rsidRPr="00747A30">
        <w:rPr>
          <w:lang w:val="sk-SK"/>
        </w:rPr>
        <w:t xml:space="preserve"> kapacít</w:t>
      </w:r>
      <w:r w:rsidR="007B113B" w:rsidRPr="00747A30">
        <w:rPr>
          <w:lang w:val="sk-SK"/>
        </w:rPr>
        <w:t xml:space="preserve"> </w:t>
      </w:r>
      <w:r w:rsidR="009173A8">
        <w:rPr>
          <w:lang w:val="sk-SK"/>
        </w:rPr>
        <w:t xml:space="preserve">na vyššie uvedených najexponovanejších agendách </w:t>
      </w:r>
      <w:r w:rsidR="007B113B" w:rsidRPr="00747A30">
        <w:rPr>
          <w:lang w:val="sk-SK"/>
        </w:rPr>
        <w:t xml:space="preserve">sa zabezpečí dodržiavanie </w:t>
      </w:r>
      <w:r w:rsidRPr="00747A30">
        <w:rPr>
          <w:lang w:val="sk-SK"/>
        </w:rPr>
        <w:t>zákonom stanovených l</w:t>
      </w:r>
      <w:r w:rsidR="007B113B" w:rsidRPr="00747A30">
        <w:rPr>
          <w:lang w:val="sk-SK"/>
        </w:rPr>
        <w:t>ehôt</w:t>
      </w:r>
      <w:r w:rsidRPr="00747A30">
        <w:rPr>
          <w:lang w:val="sk-SK"/>
        </w:rPr>
        <w:t>, zníženie povinnosti vracania správnych po</w:t>
      </w:r>
      <w:r w:rsidR="00747A30" w:rsidRPr="00747A30">
        <w:rPr>
          <w:lang w:val="sk-SK"/>
        </w:rPr>
        <w:t>p</w:t>
      </w:r>
      <w:r w:rsidRPr="00747A30">
        <w:rPr>
          <w:lang w:val="sk-SK"/>
        </w:rPr>
        <w:t>latkov, zdynamizovanie procesov</w:t>
      </w:r>
      <w:r w:rsidR="002E1880" w:rsidRPr="00747A30">
        <w:rPr>
          <w:lang w:val="sk-SK"/>
        </w:rPr>
        <w:t>, ktoré sú</w:t>
      </w:r>
      <w:r w:rsidRPr="00747A30">
        <w:rPr>
          <w:lang w:val="sk-SK"/>
        </w:rPr>
        <w:t xml:space="preserve"> </w:t>
      </w:r>
      <w:r w:rsidR="002E1880" w:rsidRPr="00747A30">
        <w:rPr>
          <w:lang w:val="sk-SK"/>
        </w:rPr>
        <w:t>ovplyvňované osobitnými nárazovými problémami a</w:t>
      </w:r>
      <w:r w:rsidR="000C32FE">
        <w:rPr>
          <w:lang w:val="sk-SK"/>
        </w:rPr>
        <w:t> </w:t>
      </w:r>
      <w:r w:rsidR="002E1880" w:rsidRPr="00747A30">
        <w:rPr>
          <w:lang w:val="sk-SK"/>
        </w:rPr>
        <w:t>pod</w:t>
      </w:r>
      <w:r w:rsidR="000C32FE">
        <w:rPr>
          <w:lang w:val="sk-SK"/>
        </w:rPr>
        <w:t>.</w:t>
      </w:r>
      <w:r w:rsidR="002E1880" w:rsidRPr="00747A30">
        <w:rPr>
          <w:lang w:val="sk-SK"/>
        </w:rPr>
        <w:t>, čo prispeje k zefektívneniu poskytovaných služieb verejnej správy.</w:t>
      </w:r>
    </w:p>
    <w:p w14:paraId="136C1BB4" w14:textId="24DC6E49" w:rsidR="006A078A" w:rsidRDefault="006A078A" w:rsidP="006A078A">
      <w:pPr>
        <w:pStyle w:val="Odsekzoznamu"/>
        <w:spacing w:before="120" w:after="120"/>
        <w:ind w:left="0"/>
        <w:contextualSpacing w:val="0"/>
        <w:jc w:val="both"/>
        <w:rPr>
          <w:lang w:val="sk-SK"/>
        </w:rPr>
      </w:pPr>
      <w:r>
        <w:rPr>
          <w:lang w:val="sk-SK"/>
        </w:rPr>
        <w:t xml:space="preserve">MV SR ako ÚOŠS, v ktorého pôsobnosti sú zriadené okresné úrady zabezpečuje financovanie činnosti OÚ v rámci kapitoly MV SR zo štátneho rozpočtu a rovnako bude </w:t>
      </w:r>
      <w:r>
        <w:rPr>
          <w:lang w:val="sk-SK"/>
        </w:rPr>
        <w:lastRenderedPageBreak/>
        <w:t>zabezpečovať financovanie činností realizovaných a podporovaných v</w:t>
      </w:r>
      <w:r w:rsidR="00E7398C">
        <w:rPr>
          <w:lang w:val="sk-SK"/>
        </w:rPr>
        <w:t> </w:t>
      </w:r>
      <w:r>
        <w:rPr>
          <w:lang w:val="sk-SK"/>
        </w:rPr>
        <w:t>projekte</w:t>
      </w:r>
      <w:r w:rsidR="00E7398C">
        <w:rPr>
          <w:lang w:val="sk-SK"/>
        </w:rPr>
        <w:t xml:space="preserve"> po jeho ukončení </w:t>
      </w:r>
      <w:r w:rsidR="006E6BB3">
        <w:rPr>
          <w:lang w:val="sk-SK"/>
        </w:rPr>
        <w:t>od</w:t>
      </w:r>
      <w:r w:rsidR="00E7398C">
        <w:rPr>
          <w:lang w:val="sk-SK"/>
        </w:rPr>
        <w:t> roku 2024</w:t>
      </w:r>
      <w:r>
        <w:rPr>
          <w:lang w:val="sk-SK"/>
        </w:rPr>
        <w:t>.</w:t>
      </w:r>
    </w:p>
    <w:p w14:paraId="1A711189" w14:textId="77777777" w:rsidR="00FA664D" w:rsidRPr="00747A30" w:rsidRDefault="00FA664D" w:rsidP="00E24719">
      <w:pPr>
        <w:rPr>
          <w:lang w:val="sk-SK"/>
        </w:rPr>
      </w:pPr>
    </w:p>
    <w:p w14:paraId="7CF561F1" w14:textId="77777777" w:rsidR="00E24719" w:rsidRPr="00747A30" w:rsidRDefault="00E24719" w:rsidP="00E24719">
      <w:pPr>
        <w:jc w:val="both"/>
        <w:rPr>
          <w:rFonts w:eastAsia="Calibri"/>
          <w:bCs/>
          <w:iCs/>
          <w:lang w:val="sk-SK"/>
        </w:rPr>
      </w:pPr>
      <w:r w:rsidRPr="00747A30">
        <w:rPr>
          <w:lang w:val="sk-SK"/>
        </w:rPr>
        <w:t xml:space="preserve">b) V tabuľke nižšie uveďte </w:t>
      </w:r>
      <w:r w:rsidRPr="00747A30">
        <w:rPr>
          <w:rFonts w:eastAsia="Calibri"/>
          <w:bCs/>
          <w:iCs/>
          <w:lang w:val="sk-SK"/>
        </w:rPr>
        <w:t xml:space="preserve">rámcový popis aktivít, ktoré budú v rámci identifikovaného národného projektu realizované </w:t>
      </w:r>
      <w:r w:rsidRPr="00747A30">
        <w:rPr>
          <w:lang w:val="sk-SK"/>
        </w:rPr>
        <w:t xml:space="preserve"> </w:t>
      </w:r>
      <w:r w:rsidRPr="00747A30">
        <w:rPr>
          <w:rFonts w:eastAsia="Calibri"/>
          <w:bCs/>
          <w:iCs/>
          <w:lang w:val="sk-SK"/>
        </w:rPr>
        <w:t>a ich prepojenie so špecifickými cieľmi.</w:t>
      </w:r>
    </w:p>
    <w:p w14:paraId="6CBB6611" w14:textId="77777777" w:rsidR="00E24719" w:rsidRPr="00747A30" w:rsidRDefault="00E24719" w:rsidP="00E24719">
      <w:pPr>
        <w:rPr>
          <w:lang w:val="sk-SK"/>
        </w:rPr>
      </w:pP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182"/>
        <w:gridCol w:w="2182"/>
        <w:gridCol w:w="2182"/>
      </w:tblGrid>
      <w:tr w:rsidR="00E24719" w:rsidRPr="00747A30" w14:paraId="00C8958A" w14:textId="77777777" w:rsidTr="00AD549D">
        <w:tc>
          <w:tcPr>
            <w:tcW w:w="2516" w:type="dxa"/>
            <w:shd w:val="clear" w:color="auto" w:fill="CCC0D9"/>
          </w:tcPr>
          <w:p w14:paraId="6C477C68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Názov aktivity</w:t>
            </w:r>
          </w:p>
        </w:tc>
        <w:tc>
          <w:tcPr>
            <w:tcW w:w="2182" w:type="dxa"/>
            <w:shd w:val="clear" w:color="auto" w:fill="auto"/>
          </w:tcPr>
          <w:p w14:paraId="0D7C80B8" w14:textId="77777777" w:rsidR="00E24719" w:rsidRPr="00747A30" w:rsidRDefault="00E24719" w:rsidP="00AD549D">
            <w:pPr>
              <w:rPr>
                <w:i/>
                <w:lang w:val="sk-SK"/>
              </w:rPr>
            </w:pPr>
            <w:r w:rsidRPr="00747A30">
              <w:rPr>
                <w:lang w:val="sk-SK"/>
              </w:rPr>
              <w:t xml:space="preserve">Cieľ, ktorý má byť aktivitou dosiahnutý (podľa sekcie </w:t>
            </w:r>
            <w:r w:rsidRPr="00747A30">
              <w:rPr>
                <w:i/>
                <w:lang w:val="sk-SK"/>
              </w:rPr>
              <w:t>Očakávaný stav</w:t>
            </w:r>
            <w:r w:rsidRPr="00747A30">
              <w:rPr>
                <w:lang w:val="sk-SK"/>
              </w:rPr>
              <w:t>)</w:t>
            </w:r>
          </w:p>
        </w:tc>
        <w:tc>
          <w:tcPr>
            <w:tcW w:w="2182" w:type="dxa"/>
            <w:shd w:val="clear" w:color="auto" w:fill="auto"/>
          </w:tcPr>
          <w:p w14:paraId="7C62CBB6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Spôsob realizácie (žiadateľ a/alebo partner)</w:t>
            </w:r>
          </w:p>
        </w:tc>
        <w:tc>
          <w:tcPr>
            <w:tcW w:w="2182" w:type="dxa"/>
            <w:shd w:val="clear" w:color="auto" w:fill="auto"/>
          </w:tcPr>
          <w:p w14:paraId="752E0026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Predpokladaný počet mesiacov realizácie aktivity</w:t>
            </w:r>
          </w:p>
        </w:tc>
      </w:tr>
      <w:tr w:rsidR="00E24719" w:rsidRPr="00747A30" w14:paraId="274DADEF" w14:textId="77777777" w:rsidTr="00AD549D">
        <w:tc>
          <w:tcPr>
            <w:tcW w:w="2516" w:type="dxa"/>
            <w:shd w:val="clear" w:color="auto" w:fill="CCC0D9"/>
          </w:tcPr>
          <w:p w14:paraId="2A1D799E" w14:textId="077C141A" w:rsidR="00E24719" w:rsidRPr="00747A30" w:rsidRDefault="00C00A36" w:rsidP="00AD549D">
            <w:pPr>
              <w:rPr>
                <w:lang w:val="sk-SK"/>
              </w:rPr>
            </w:pPr>
            <w:r w:rsidRPr="00747A30">
              <w:rPr>
                <w:b/>
                <w:lang w:val="sk-SK"/>
              </w:rPr>
              <w:t>Podpora najexponovanejších odborov okresných úradov</w:t>
            </w:r>
          </w:p>
        </w:tc>
        <w:tc>
          <w:tcPr>
            <w:tcW w:w="2182" w:type="dxa"/>
            <w:shd w:val="clear" w:color="auto" w:fill="auto"/>
          </w:tcPr>
          <w:p w14:paraId="322608C0" w14:textId="76E26832" w:rsidR="006D5787" w:rsidRPr="00747A30" w:rsidRDefault="00FA0D63" w:rsidP="006D5787">
            <w:pPr>
              <w:rPr>
                <w:lang w:val="sk-SK"/>
              </w:rPr>
            </w:pPr>
            <w:r w:rsidRPr="00FA0D63">
              <w:rPr>
                <w:lang w:val="sk-SK"/>
              </w:rPr>
              <w:t xml:space="preserve">72 </w:t>
            </w:r>
            <w:r w:rsidR="006D5787" w:rsidRPr="00FA0D63">
              <w:rPr>
                <w:lang w:val="sk-SK"/>
              </w:rPr>
              <w:t>podporených klientskych pracovísk</w:t>
            </w:r>
          </w:p>
          <w:p w14:paraId="47CF7BDD" w14:textId="6FFA77D7" w:rsidR="00E24719" w:rsidRPr="00747A30" w:rsidRDefault="00E24719" w:rsidP="006D5787">
            <w:pPr>
              <w:rPr>
                <w:strike/>
                <w:lang w:val="sk-SK"/>
              </w:rPr>
            </w:pPr>
          </w:p>
        </w:tc>
        <w:tc>
          <w:tcPr>
            <w:tcW w:w="2182" w:type="dxa"/>
            <w:shd w:val="clear" w:color="auto" w:fill="auto"/>
          </w:tcPr>
          <w:p w14:paraId="7DCFADFA" w14:textId="7DAB6A1B" w:rsidR="00E24719" w:rsidRPr="00747A30" w:rsidRDefault="006D5787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žiadateľ</w:t>
            </w:r>
          </w:p>
        </w:tc>
        <w:tc>
          <w:tcPr>
            <w:tcW w:w="2182" w:type="dxa"/>
            <w:shd w:val="clear" w:color="auto" w:fill="auto"/>
          </w:tcPr>
          <w:p w14:paraId="23524C81" w14:textId="5E083D44" w:rsidR="00E24719" w:rsidRPr="00747A30" w:rsidRDefault="006D5787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>24 mesiacov</w:t>
            </w:r>
          </w:p>
        </w:tc>
      </w:tr>
    </w:tbl>
    <w:p w14:paraId="6A165EB9" w14:textId="77777777" w:rsidR="00E24719" w:rsidRPr="00747A30" w:rsidRDefault="00E24719" w:rsidP="00E24719">
      <w:pPr>
        <w:spacing w:line="276" w:lineRule="auto"/>
        <w:jc w:val="both"/>
        <w:rPr>
          <w:i/>
          <w:lang w:val="sk-SK"/>
        </w:rPr>
      </w:pPr>
      <w:r w:rsidRPr="00747A30">
        <w:rPr>
          <w:i/>
          <w:lang w:val="sk-SK"/>
        </w:rPr>
        <w:t>V prípade viacerých aktivít, doplňte informácie za každú z nich.</w:t>
      </w:r>
    </w:p>
    <w:p w14:paraId="773CC22F" w14:textId="4B64DCB4" w:rsidR="00E24719" w:rsidRPr="00747A30" w:rsidRDefault="00E24719" w:rsidP="00E24719">
      <w:pPr>
        <w:pStyle w:val="Odsekzoznamu"/>
        <w:ind w:left="284"/>
        <w:contextualSpacing w:val="0"/>
        <w:rPr>
          <w:lang w:val="sk-SK"/>
        </w:rPr>
      </w:pPr>
    </w:p>
    <w:p w14:paraId="1DA9B508" w14:textId="77777777" w:rsidR="00537C3D" w:rsidRPr="00747A30" w:rsidRDefault="00537C3D" w:rsidP="00537C3D">
      <w:pPr>
        <w:spacing w:line="276" w:lineRule="auto"/>
        <w:jc w:val="both"/>
        <w:rPr>
          <w:b/>
          <w:lang w:val="sk-SK"/>
        </w:rPr>
      </w:pPr>
      <w:r w:rsidRPr="00747A30">
        <w:rPr>
          <w:b/>
          <w:lang w:val="sk-SK"/>
        </w:rPr>
        <w:t>Informovanie a propagácia:</w:t>
      </w:r>
    </w:p>
    <w:p w14:paraId="1292B459" w14:textId="77777777" w:rsidR="00537C3D" w:rsidRPr="00747A30" w:rsidRDefault="00537C3D" w:rsidP="00537C3D">
      <w:pPr>
        <w:spacing w:line="276" w:lineRule="auto"/>
        <w:jc w:val="both"/>
        <w:rPr>
          <w:lang w:val="sk-SK"/>
        </w:rPr>
      </w:pPr>
      <w:r w:rsidRPr="00747A30">
        <w:rPr>
          <w:lang w:val="sk-SK"/>
        </w:rPr>
        <w:t>Komunikačnými nástrojmi žiadateľa bude: označenie priestorov v sídle prijímateľa NFP, miesta vzdelávacích aktivít, miesta realizácie aktivít, fotodokumentácia, uverejnenie oznámenia na webovom sídle, označenie propagačných predmetov a spotrebného materiálu, a pod.</w:t>
      </w:r>
    </w:p>
    <w:p w14:paraId="7773D5B4" w14:textId="77777777" w:rsidR="00537C3D" w:rsidRPr="00747A30" w:rsidRDefault="00537C3D" w:rsidP="00E24719">
      <w:pPr>
        <w:pStyle w:val="Odsekzoznamu"/>
        <w:ind w:left="284"/>
        <w:contextualSpacing w:val="0"/>
        <w:rPr>
          <w:lang w:val="sk-SK"/>
        </w:rPr>
      </w:pPr>
    </w:p>
    <w:p w14:paraId="70F28340" w14:textId="77777777" w:rsidR="00E24719" w:rsidRPr="00747A30" w:rsidRDefault="00E24719" w:rsidP="00E24719">
      <w:pPr>
        <w:pStyle w:val="Odsekzoznamu"/>
        <w:keepNext/>
        <w:numPr>
          <w:ilvl w:val="0"/>
          <w:numId w:val="31"/>
        </w:numPr>
        <w:ind w:left="426" w:hanging="426"/>
        <w:contextualSpacing w:val="0"/>
        <w:rPr>
          <w:lang w:val="sk-SK"/>
        </w:rPr>
      </w:pPr>
      <w:r w:rsidRPr="00747A30">
        <w:rPr>
          <w:lang w:val="sk-SK"/>
        </w:rPr>
        <w:t xml:space="preserve">Rozpočet </w:t>
      </w:r>
    </w:p>
    <w:p w14:paraId="22A229F5" w14:textId="77777777" w:rsidR="00E24719" w:rsidRPr="00747A30" w:rsidRDefault="00E24719" w:rsidP="00E24719">
      <w:pPr>
        <w:pStyle w:val="Odsekzoznamu"/>
        <w:ind w:left="426"/>
        <w:contextualSpacing w:val="0"/>
        <w:jc w:val="both"/>
        <w:rPr>
          <w:lang w:val="sk-SK"/>
        </w:rPr>
      </w:pPr>
      <w:r w:rsidRPr="00747A30">
        <w:rPr>
          <w:lang w:val="sk-SK"/>
        </w:rPr>
        <w:t>Jasne uveďte, ako bol pripravovaný indikatívny rozpočet a ako spĺňa kritérium „hodnota za peniaze“, t. j. akým spôsobom bola odhadnutá cena za každú položku, napr. prieskum trhu, analýza minulých výdavkov spojených s podobnými aktivitami, nezávislý znalecký posudok, v prípade, ak príprave projektu predchádza vypracovanie štúdie uskutočniteľnosti, ktorej výsledkom je, o. i. aj určenie výšky alokácie, je potrebné uviesť túto štúdiu ako zdroj určenia výšky finančných prostriedkov. Skupiny výdavkov doplňte v súlade s MP CKO č. 4 k číselníku oprávnených výdavkov v platnom znení. V prípade operačných programov implementujúcich infraštruktúrne projekty, ako aj projekty súvisiace s obnovou mobilných prostriedkov, sa do ukončenia verejného obstarávania uvádzajú položky rozpočtu len do úrovne aktivít.</w:t>
      </w:r>
    </w:p>
    <w:p w14:paraId="423071A6" w14:textId="77777777" w:rsidR="00E24719" w:rsidRPr="00747A30" w:rsidRDefault="00E24719" w:rsidP="00E24719">
      <w:pPr>
        <w:pStyle w:val="Odsekzoznamu"/>
        <w:ind w:left="708"/>
        <w:contextualSpacing w:val="0"/>
        <w:jc w:val="both"/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54"/>
        <w:gridCol w:w="4843"/>
      </w:tblGrid>
      <w:tr w:rsidR="00E24719" w:rsidRPr="00747A30" w14:paraId="19A26198" w14:textId="77777777" w:rsidTr="00AD549D">
        <w:trPr>
          <w:cantSplit/>
          <w:trHeight w:val="699"/>
        </w:trPr>
        <w:tc>
          <w:tcPr>
            <w:tcW w:w="9062" w:type="dxa"/>
            <w:gridSpan w:val="3"/>
            <w:shd w:val="clear" w:color="auto" w:fill="auto"/>
          </w:tcPr>
          <w:p w14:paraId="5784B862" w14:textId="77777777" w:rsidR="00E24719" w:rsidRPr="00747A30" w:rsidRDefault="00E24719" w:rsidP="00AD549D">
            <w:pPr>
              <w:pStyle w:val="Odsekzoznamu"/>
              <w:ind w:left="0"/>
              <w:contextualSpacing w:val="0"/>
              <w:jc w:val="both"/>
              <w:rPr>
                <w:lang w:val="sk-SK"/>
              </w:rPr>
            </w:pPr>
            <w:r w:rsidRPr="00747A30">
              <w:rPr>
                <w:lang w:val="sk-SK"/>
              </w:rPr>
              <w:t>Indikatívna výška finančných prostriedkov určených na realizáciu národného projektu a ich výstižné zdôvodnenie</w:t>
            </w:r>
          </w:p>
        </w:tc>
      </w:tr>
      <w:tr w:rsidR="00E24719" w:rsidRPr="00747A30" w14:paraId="54D9AC6E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0586BD78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b/>
                <w:lang w:val="sk-SK"/>
              </w:rPr>
              <w:t>Predpokladané finančné prostriedky na hlavné aktivity</w:t>
            </w:r>
          </w:p>
        </w:tc>
        <w:tc>
          <w:tcPr>
            <w:tcW w:w="1954" w:type="dxa"/>
            <w:shd w:val="clear" w:color="auto" w:fill="auto"/>
          </w:tcPr>
          <w:p w14:paraId="1D1F4F61" w14:textId="77777777" w:rsidR="00E24719" w:rsidRPr="00747A30" w:rsidRDefault="00E24719" w:rsidP="00AD549D">
            <w:pPr>
              <w:rPr>
                <w:b/>
                <w:lang w:val="sk-SK"/>
              </w:rPr>
            </w:pPr>
            <w:r w:rsidRPr="00747A30">
              <w:rPr>
                <w:b/>
                <w:lang w:val="sk-SK"/>
              </w:rPr>
              <w:t xml:space="preserve">Celková suma </w:t>
            </w:r>
          </w:p>
          <w:p w14:paraId="55350B36" w14:textId="77777777" w:rsidR="00E24719" w:rsidRPr="00747A30" w:rsidRDefault="00E24719" w:rsidP="00AD549D">
            <w:pPr>
              <w:rPr>
                <w:b/>
                <w:lang w:val="sk-SK"/>
              </w:rPr>
            </w:pPr>
          </w:p>
        </w:tc>
        <w:tc>
          <w:tcPr>
            <w:tcW w:w="4843" w:type="dxa"/>
            <w:shd w:val="clear" w:color="auto" w:fill="auto"/>
          </w:tcPr>
          <w:p w14:paraId="6EFC01B0" w14:textId="77777777" w:rsidR="00E24719" w:rsidRPr="00747A30" w:rsidRDefault="00E24719" w:rsidP="00AD549D">
            <w:pPr>
              <w:rPr>
                <w:b/>
                <w:lang w:val="sk-SK"/>
              </w:rPr>
            </w:pPr>
            <w:r w:rsidRPr="00747A30">
              <w:rPr>
                <w:b/>
                <w:lang w:val="sk-SK"/>
              </w:rPr>
              <w:t>Uveďte plánované vecné vymedzenie</w:t>
            </w:r>
          </w:p>
        </w:tc>
      </w:tr>
      <w:tr w:rsidR="00E24719" w:rsidRPr="00747A30" w14:paraId="519599E0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3DB8DC97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b/>
                <w:lang w:val="sk-SK"/>
              </w:rPr>
              <w:t>Aktivita 1</w:t>
            </w:r>
          </w:p>
        </w:tc>
        <w:tc>
          <w:tcPr>
            <w:tcW w:w="1954" w:type="dxa"/>
            <w:shd w:val="clear" w:color="auto" w:fill="auto"/>
          </w:tcPr>
          <w:p w14:paraId="77F36485" w14:textId="77777777" w:rsidR="00E24719" w:rsidRPr="00747A30" w:rsidRDefault="00E24719" w:rsidP="00AD549D">
            <w:pPr>
              <w:rPr>
                <w:b/>
                <w:lang w:val="sk-SK"/>
              </w:rPr>
            </w:pPr>
          </w:p>
        </w:tc>
        <w:tc>
          <w:tcPr>
            <w:tcW w:w="4843" w:type="dxa"/>
            <w:shd w:val="clear" w:color="auto" w:fill="auto"/>
          </w:tcPr>
          <w:p w14:paraId="4F643016" w14:textId="77777777" w:rsidR="00E24719" w:rsidRPr="00747A30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6DCCA263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0E274399" w14:textId="05AFC98B" w:rsidR="00537C3D" w:rsidRPr="00747A30" w:rsidRDefault="00A57909" w:rsidP="00537C3D">
            <w:pPr>
              <w:rPr>
                <w:lang w:val="sk-SK"/>
              </w:rPr>
            </w:pPr>
            <w:r w:rsidRPr="00747A30">
              <w:rPr>
                <w:lang w:val="sk-SK"/>
              </w:rPr>
              <w:lastRenderedPageBreak/>
              <w:t>910 – Jednotkové výdavky</w:t>
            </w:r>
          </w:p>
          <w:p w14:paraId="733D1710" w14:textId="141BA9A8" w:rsidR="00E24719" w:rsidRPr="00747A30" w:rsidRDefault="00E24719" w:rsidP="00AD549D">
            <w:pPr>
              <w:rPr>
                <w:lang w:val="sk-SK"/>
              </w:rPr>
            </w:pPr>
          </w:p>
        </w:tc>
        <w:tc>
          <w:tcPr>
            <w:tcW w:w="1954" w:type="dxa"/>
            <w:shd w:val="clear" w:color="auto" w:fill="auto"/>
          </w:tcPr>
          <w:p w14:paraId="09AAC836" w14:textId="7DB8F4F7" w:rsidR="00E24719" w:rsidRPr="00D32C71" w:rsidRDefault="00774B03" w:rsidP="00AD549D">
            <w:pPr>
              <w:rPr>
                <w:lang w:val="sk-SK"/>
              </w:rPr>
            </w:pPr>
            <w:r w:rsidRPr="00D32C71">
              <w:rPr>
                <w:lang w:val="sk-SK"/>
              </w:rPr>
              <w:t>4</w:t>
            </w:r>
            <w:r w:rsidR="00B06EC0" w:rsidRPr="00D32C71">
              <w:rPr>
                <w:lang w:val="sk-SK"/>
              </w:rPr>
              <w:t>4</w:t>
            </w:r>
            <w:r w:rsidR="0061461A" w:rsidRPr="00D32C71">
              <w:rPr>
                <w:lang w:val="sk-SK"/>
              </w:rPr>
              <w:t> 545 000</w:t>
            </w:r>
            <w:r w:rsidR="008349B3" w:rsidRPr="00D32C71">
              <w:rPr>
                <w:lang w:val="sk-SK"/>
              </w:rPr>
              <w:t>,- EUR</w:t>
            </w:r>
          </w:p>
        </w:tc>
        <w:tc>
          <w:tcPr>
            <w:tcW w:w="4843" w:type="dxa"/>
            <w:shd w:val="clear" w:color="auto" w:fill="auto"/>
          </w:tcPr>
          <w:p w14:paraId="77CF7BC8" w14:textId="3606FD93" w:rsidR="00E24719" w:rsidRPr="00D32C71" w:rsidRDefault="00A57909" w:rsidP="00A57909">
            <w:pPr>
              <w:rPr>
                <w:lang w:val="sk-SK"/>
              </w:rPr>
            </w:pPr>
            <w:r w:rsidRPr="00D32C71">
              <w:rPr>
                <w:lang w:val="sk-SK"/>
              </w:rPr>
              <w:t>Celková výška oprávnených nákladov (COV) na zamestnanca v príslušnom mesiaci je daná súčinom jednotkovej ceny  nákladu na hodinu práce oprávneného zamestnanca v EUR a počtu  jednotiek určených počtom odpracovaných hodín v mesiaci. Oprávnenými výdavkami na realizáciu aktivít je jednotková cena stanovená na základe dokumentu štandardná stupnica jednotkových nákladov</w:t>
            </w:r>
            <w:r w:rsidR="00D32C71" w:rsidRPr="00D32C71">
              <w:rPr>
                <w:lang w:val="sk-SK"/>
              </w:rPr>
              <w:t xml:space="preserve"> (podpora sa bude dotýkať cca 1500 – 3000 zamestnancov OÚ na celom území SR)</w:t>
            </w:r>
            <w:r w:rsidRPr="00D32C71">
              <w:rPr>
                <w:lang w:val="sk-SK"/>
              </w:rPr>
              <w:t>.</w:t>
            </w:r>
          </w:p>
        </w:tc>
      </w:tr>
      <w:tr w:rsidR="00E24719" w:rsidRPr="00747A30" w14:paraId="1DC9CA2C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6D62F6D6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b/>
                <w:lang w:val="sk-SK"/>
              </w:rPr>
              <w:t>Hlavné aktivity SPOLU</w:t>
            </w:r>
          </w:p>
        </w:tc>
        <w:tc>
          <w:tcPr>
            <w:tcW w:w="1954" w:type="dxa"/>
            <w:shd w:val="clear" w:color="auto" w:fill="auto"/>
          </w:tcPr>
          <w:p w14:paraId="08A46F93" w14:textId="387F5E42" w:rsidR="00E24719" w:rsidRPr="00D32C71" w:rsidRDefault="00774B03" w:rsidP="00AD549D">
            <w:pPr>
              <w:rPr>
                <w:lang w:val="sk-SK"/>
              </w:rPr>
            </w:pPr>
            <w:r w:rsidRPr="00D32C71">
              <w:rPr>
                <w:lang w:val="sk-SK"/>
              </w:rPr>
              <w:t>4</w:t>
            </w:r>
            <w:r w:rsidR="00B06EC0" w:rsidRPr="00D32C71">
              <w:rPr>
                <w:lang w:val="sk-SK"/>
              </w:rPr>
              <w:t>4 545 </w:t>
            </w:r>
            <w:r w:rsidR="0061461A" w:rsidRPr="00D32C71">
              <w:rPr>
                <w:lang w:val="sk-SK"/>
              </w:rPr>
              <w:t>000</w:t>
            </w:r>
            <w:r w:rsidR="00B06EC0" w:rsidRPr="00D32C71">
              <w:rPr>
                <w:lang w:val="sk-SK"/>
              </w:rPr>
              <w:t>,</w:t>
            </w:r>
            <w:r w:rsidR="008349B3" w:rsidRPr="00D32C71">
              <w:rPr>
                <w:lang w:val="sk-SK"/>
              </w:rPr>
              <w:t>- EUR</w:t>
            </w:r>
          </w:p>
        </w:tc>
        <w:tc>
          <w:tcPr>
            <w:tcW w:w="4843" w:type="dxa"/>
            <w:shd w:val="clear" w:color="auto" w:fill="auto"/>
          </w:tcPr>
          <w:p w14:paraId="27590962" w14:textId="77777777" w:rsidR="00E24719" w:rsidRPr="00D32C71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48F55BEB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615DBE18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lang w:val="sk-SK"/>
              </w:rPr>
              <w:t xml:space="preserve">Predpokladané finančné prostriedky na podporné aktivity </w:t>
            </w:r>
          </w:p>
        </w:tc>
        <w:tc>
          <w:tcPr>
            <w:tcW w:w="1954" w:type="dxa"/>
            <w:shd w:val="clear" w:color="auto" w:fill="auto"/>
          </w:tcPr>
          <w:p w14:paraId="64527CD4" w14:textId="77777777" w:rsidR="00E24719" w:rsidRPr="00D32C71" w:rsidRDefault="00E24719" w:rsidP="00AD549D">
            <w:pPr>
              <w:rPr>
                <w:lang w:val="sk-SK"/>
              </w:rPr>
            </w:pPr>
          </w:p>
        </w:tc>
        <w:tc>
          <w:tcPr>
            <w:tcW w:w="4843" w:type="dxa"/>
            <w:shd w:val="clear" w:color="auto" w:fill="auto"/>
          </w:tcPr>
          <w:p w14:paraId="4B8BB040" w14:textId="77777777" w:rsidR="00E24719" w:rsidRPr="00D32C71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366DD6DC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53DE3254" w14:textId="77777777" w:rsidR="00537C3D" w:rsidRPr="00747A30" w:rsidRDefault="00537C3D" w:rsidP="00537C3D">
            <w:pPr>
              <w:rPr>
                <w:rFonts w:ascii="Times New Roman" w:hAnsi="Times New Roman"/>
                <w:lang w:val="sk-SK"/>
              </w:rPr>
            </w:pPr>
            <w:r w:rsidRPr="00747A30">
              <w:rPr>
                <w:rFonts w:ascii="Times New Roman" w:hAnsi="Times New Roman"/>
                <w:lang w:val="sk-SK"/>
              </w:rPr>
              <w:t>902 – Paušálna sadzba na nepriame výdavky určené na základe nákladov na zamestnancov (nariadenie 1303/2013, čl. 68 ods. 1, písm. b)</w:t>
            </w:r>
          </w:p>
          <w:p w14:paraId="6CE8929F" w14:textId="04485924" w:rsidR="00E24719" w:rsidRPr="00747A30" w:rsidRDefault="00E24719" w:rsidP="00AD549D">
            <w:pPr>
              <w:rPr>
                <w:lang w:val="sk-SK"/>
              </w:rPr>
            </w:pPr>
          </w:p>
        </w:tc>
        <w:tc>
          <w:tcPr>
            <w:tcW w:w="1954" w:type="dxa"/>
            <w:shd w:val="clear" w:color="auto" w:fill="auto"/>
          </w:tcPr>
          <w:p w14:paraId="314DD2E0" w14:textId="5668572D" w:rsidR="00E24719" w:rsidRPr="00D32C71" w:rsidRDefault="00774B03" w:rsidP="00AD549D">
            <w:pPr>
              <w:rPr>
                <w:lang w:val="sk-SK"/>
              </w:rPr>
            </w:pPr>
            <w:r w:rsidRPr="00D32C71">
              <w:rPr>
                <w:lang w:val="sk-SK"/>
              </w:rPr>
              <w:t>4</w:t>
            </w:r>
            <w:r w:rsidR="0061461A" w:rsidRPr="00D32C71">
              <w:rPr>
                <w:lang w:val="sk-SK"/>
              </w:rPr>
              <w:t> 455 000</w:t>
            </w:r>
            <w:r w:rsidR="008349B3" w:rsidRPr="00D32C71">
              <w:rPr>
                <w:lang w:val="sk-SK"/>
              </w:rPr>
              <w:t>,- EUR</w:t>
            </w:r>
          </w:p>
        </w:tc>
        <w:tc>
          <w:tcPr>
            <w:tcW w:w="4843" w:type="dxa"/>
            <w:shd w:val="clear" w:color="auto" w:fill="auto"/>
          </w:tcPr>
          <w:p w14:paraId="119FB19F" w14:textId="7FD15E77" w:rsidR="00E24719" w:rsidRPr="00D32C71" w:rsidRDefault="008349B3" w:rsidP="00774B03">
            <w:pPr>
              <w:rPr>
                <w:lang w:val="sk-SK"/>
              </w:rPr>
            </w:pPr>
            <w:r w:rsidRPr="00D32C71">
              <w:rPr>
                <w:lang w:val="sk-SK"/>
              </w:rPr>
              <w:t xml:space="preserve">Paušálna sadzba na nepriame výdavky projektu vo výške </w:t>
            </w:r>
            <w:r w:rsidR="00774B03" w:rsidRPr="00D32C71">
              <w:rPr>
                <w:lang w:val="sk-SK"/>
              </w:rPr>
              <w:t xml:space="preserve">10 </w:t>
            </w:r>
            <w:r w:rsidRPr="00D32C71">
              <w:rPr>
                <w:lang w:val="sk-SK"/>
              </w:rPr>
              <w:t>% z celkových oprávnených priamych nákladov na zamestnancov.</w:t>
            </w:r>
          </w:p>
        </w:tc>
      </w:tr>
      <w:tr w:rsidR="00E24719" w:rsidRPr="00747A30" w14:paraId="0680916B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2ED8954F" w14:textId="77777777" w:rsidR="00E24719" w:rsidRPr="00747A30" w:rsidRDefault="00E24719" w:rsidP="00AD549D">
            <w:pPr>
              <w:rPr>
                <w:lang w:val="sk-SK"/>
              </w:rPr>
            </w:pPr>
            <w:r w:rsidRPr="00747A30">
              <w:rPr>
                <w:b/>
                <w:lang w:val="sk-SK"/>
              </w:rPr>
              <w:t>Podporné aktivity SPOLU</w:t>
            </w:r>
          </w:p>
        </w:tc>
        <w:tc>
          <w:tcPr>
            <w:tcW w:w="1954" w:type="dxa"/>
            <w:shd w:val="clear" w:color="auto" w:fill="auto"/>
          </w:tcPr>
          <w:p w14:paraId="45E4B3F1" w14:textId="2719B9DF" w:rsidR="00E24719" w:rsidRPr="00D32C71" w:rsidRDefault="00774B03" w:rsidP="00AD549D">
            <w:pPr>
              <w:rPr>
                <w:lang w:val="sk-SK"/>
              </w:rPr>
            </w:pPr>
            <w:r w:rsidRPr="00D32C71">
              <w:rPr>
                <w:lang w:val="sk-SK"/>
              </w:rPr>
              <w:t>4</w:t>
            </w:r>
            <w:r w:rsidR="0061461A" w:rsidRPr="00D32C71">
              <w:rPr>
                <w:lang w:val="sk-SK"/>
              </w:rPr>
              <w:t> 455 000</w:t>
            </w:r>
            <w:r w:rsidR="008349B3" w:rsidRPr="00D32C71">
              <w:rPr>
                <w:lang w:val="sk-SK"/>
              </w:rPr>
              <w:t>,- EUR</w:t>
            </w:r>
          </w:p>
        </w:tc>
        <w:tc>
          <w:tcPr>
            <w:tcW w:w="4843" w:type="dxa"/>
            <w:shd w:val="clear" w:color="auto" w:fill="auto"/>
          </w:tcPr>
          <w:p w14:paraId="71D7FFE3" w14:textId="77777777" w:rsidR="00E24719" w:rsidRPr="00D32C71" w:rsidRDefault="00E24719" w:rsidP="00AD549D">
            <w:pPr>
              <w:rPr>
                <w:lang w:val="sk-SK"/>
              </w:rPr>
            </w:pPr>
          </w:p>
        </w:tc>
      </w:tr>
      <w:tr w:rsidR="00E24719" w:rsidRPr="00747A30" w14:paraId="5BB1C231" w14:textId="77777777" w:rsidTr="00AD549D">
        <w:trPr>
          <w:cantSplit/>
        </w:trPr>
        <w:tc>
          <w:tcPr>
            <w:tcW w:w="2265" w:type="dxa"/>
            <w:shd w:val="clear" w:color="auto" w:fill="auto"/>
          </w:tcPr>
          <w:p w14:paraId="0D57635B" w14:textId="77777777" w:rsidR="00E24719" w:rsidRPr="00747A30" w:rsidRDefault="00E24719" w:rsidP="00AD549D">
            <w:pPr>
              <w:rPr>
                <w:b/>
                <w:lang w:val="sk-SK"/>
              </w:rPr>
            </w:pPr>
            <w:r w:rsidRPr="00747A30">
              <w:rPr>
                <w:b/>
                <w:lang w:val="sk-SK"/>
              </w:rPr>
              <w:t>CELKOM</w:t>
            </w:r>
          </w:p>
        </w:tc>
        <w:tc>
          <w:tcPr>
            <w:tcW w:w="1954" w:type="dxa"/>
            <w:shd w:val="clear" w:color="auto" w:fill="auto"/>
          </w:tcPr>
          <w:p w14:paraId="6C8B5759" w14:textId="20FC76DB" w:rsidR="00E24719" w:rsidRPr="00D32C71" w:rsidRDefault="00774B03" w:rsidP="00AD549D">
            <w:pPr>
              <w:rPr>
                <w:lang w:val="sk-SK"/>
              </w:rPr>
            </w:pPr>
            <w:r w:rsidRPr="00D32C71">
              <w:rPr>
                <w:lang w:val="sk-SK"/>
              </w:rPr>
              <w:t>4</w:t>
            </w:r>
            <w:r w:rsidR="0061461A" w:rsidRPr="00D32C71">
              <w:rPr>
                <w:lang w:val="sk-SK"/>
              </w:rPr>
              <w:t>9</w:t>
            </w:r>
            <w:r w:rsidRPr="00D32C71">
              <w:rPr>
                <w:lang w:val="sk-SK"/>
              </w:rPr>
              <w:t> 000 000</w:t>
            </w:r>
            <w:r w:rsidR="008349B3" w:rsidRPr="00D32C71">
              <w:rPr>
                <w:lang w:val="sk-SK"/>
              </w:rPr>
              <w:t>,- EUR</w:t>
            </w:r>
          </w:p>
        </w:tc>
        <w:tc>
          <w:tcPr>
            <w:tcW w:w="4843" w:type="dxa"/>
            <w:shd w:val="clear" w:color="auto" w:fill="auto"/>
          </w:tcPr>
          <w:p w14:paraId="38A2E180" w14:textId="77777777" w:rsidR="00E24719" w:rsidRPr="00D32C71" w:rsidRDefault="00E24719" w:rsidP="00AD549D">
            <w:pPr>
              <w:rPr>
                <w:lang w:val="sk-SK"/>
              </w:rPr>
            </w:pPr>
          </w:p>
        </w:tc>
      </w:tr>
    </w:tbl>
    <w:p w14:paraId="4D73B1B5" w14:textId="0890D971" w:rsidR="00E24719" w:rsidRDefault="00E24719" w:rsidP="00E24719">
      <w:pPr>
        <w:rPr>
          <w:lang w:val="sk-SK"/>
        </w:rPr>
      </w:pPr>
    </w:p>
    <w:p w14:paraId="37F2871D" w14:textId="6E362CD0" w:rsidR="00FA664D" w:rsidRDefault="00FA664D" w:rsidP="00E24719">
      <w:pPr>
        <w:rPr>
          <w:lang w:val="sk-SK"/>
        </w:rPr>
      </w:pPr>
    </w:p>
    <w:p w14:paraId="2F621A21" w14:textId="77777777" w:rsidR="00FA664D" w:rsidRPr="00747A30" w:rsidRDefault="00FA664D" w:rsidP="00E24719">
      <w:pPr>
        <w:rPr>
          <w:lang w:val="sk-SK"/>
        </w:rPr>
      </w:pPr>
    </w:p>
    <w:p w14:paraId="6A7559C6" w14:textId="01D292B4" w:rsidR="00E24719" w:rsidRDefault="00E24719" w:rsidP="00E24719">
      <w:pPr>
        <w:pStyle w:val="Odsekzoznamu"/>
        <w:numPr>
          <w:ilvl w:val="0"/>
          <w:numId w:val="31"/>
        </w:numPr>
        <w:ind w:left="426" w:hanging="426"/>
        <w:contextualSpacing w:val="0"/>
        <w:jc w:val="both"/>
        <w:rPr>
          <w:lang w:val="sk-SK"/>
        </w:rPr>
      </w:pPr>
      <w:r w:rsidRPr="00747A30">
        <w:rPr>
          <w:lang w:val="sk-SK"/>
        </w:rPr>
        <w:t xml:space="preserve">Deklarujte, že NP vyhovuje </w:t>
      </w:r>
      <w:r w:rsidRPr="00747A30">
        <w:rPr>
          <w:b/>
          <w:lang w:val="sk-SK"/>
        </w:rPr>
        <w:t>zásade doplnkovosti</w:t>
      </w:r>
      <w:r w:rsidRPr="00747A30">
        <w:rPr>
          <w:lang w:val="sk-SK"/>
        </w:rPr>
        <w:t xml:space="preserve"> (t. j. nenahrádza verejné </w:t>
      </w:r>
      <w:r w:rsidRPr="00747A30">
        <w:rPr>
          <w:lang w:val="sk-SK"/>
        </w:rPr>
        <w:br/>
        <w:t>alebo ekvivalentné štrukturálne výdavky členského štátu v súlade s článkom 95 všeobecného nariadenia).</w:t>
      </w:r>
    </w:p>
    <w:p w14:paraId="0652A32A" w14:textId="77777777" w:rsidR="00EE7A79" w:rsidRPr="00747A30" w:rsidRDefault="00EE7A79" w:rsidP="00EE7A79">
      <w:pPr>
        <w:pStyle w:val="Odsekzoznamu"/>
        <w:ind w:left="426"/>
        <w:contextualSpacing w:val="0"/>
        <w:jc w:val="both"/>
        <w:rPr>
          <w:lang w:val="sk-SK"/>
        </w:rPr>
      </w:pPr>
    </w:p>
    <w:p w14:paraId="3301E5C9" w14:textId="00337E2D" w:rsidR="00E24719" w:rsidRDefault="002E2D67" w:rsidP="00FB1D7F">
      <w:pPr>
        <w:pStyle w:val="Odsekzoznamu"/>
        <w:ind w:left="0"/>
        <w:contextualSpacing w:val="0"/>
        <w:jc w:val="both"/>
        <w:rPr>
          <w:lang w:val="sk-SK"/>
        </w:rPr>
      </w:pPr>
      <w:r w:rsidRPr="00747A30">
        <w:rPr>
          <w:lang w:val="sk-SK"/>
        </w:rPr>
        <w:t>Národný projekt je v súlade s princípom doplnkovosti, definovanom v článku  95 Nariadenia Európskeho parlamentu a Rady č.1303/2013, ktorým sa stanovujú všeobecné ustanovenia o Európskom fonde regionálneho rozvoja, Európskom sociálnom fonde, Kohéznom fonde a Európskom námornom a rybárskom fonde, čo znamená, že implementácia projektu nenahrádza verejné alebo ekvivalentné štrukturálne výdavky členského štátu. Výdavky na národný projekt sú doplnkom vnútroštátneho verejného financovania a nemajú za následok zníženie vnútroštátnych štrukturálnych výdavkov.</w:t>
      </w:r>
    </w:p>
    <w:p w14:paraId="527C338D" w14:textId="77777777" w:rsidR="00EE7A79" w:rsidRPr="00747A30" w:rsidRDefault="00EE7A79" w:rsidP="00FB1D7F">
      <w:pPr>
        <w:pStyle w:val="Odsekzoznamu"/>
        <w:ind w:left="0"/>
        <w:contextualSpacing w:val="0"/>
        <w:jc w:val="both"/>
        <w:rPr>
          <w:lang w:val="sk-SK"/>
        </w:rPr>
      </w:pPr>
    </w:p>
    <w:p w14:paraId="6AD9163A" w14:textId="3AD7C3F4" w:rsidR="00E24719" w:rsidRDefault="00E24719" w:rsidP="00E24719">
      <w:pPr>
        <w:pStyle w:val="Odsekzoznamu"/>
        <w:numPr>
          <w:ilvl w:val="0"/>
          <w:numId w:val="31"/>
        </w:numPr>
        <w:ind w:left="426" w:hanging="426"/>
        <w:contextualSpacing w:val="0"/>
        <w:jc w:val="both"/>
        <w:rPr>
          <w:lang w:val="sk-SK"/>
        </w:rPr>
      </w:pPr>
      <w:r w:rsidRPr="00747A30">
        <w:rPr>
          <w:lang w:val="sk-SK"/>
        </w:rPr>
        <w:t xml:space="preserve">Bude v národnom projekte využité zjednodušené vykazovanie výdavkov? Ak áno, aký typ? </w:t>
      </w:r>
    </w:p>
    <w:p w14:paraId="028545FB" w14:textId="77777777" w:rsidR="00EE7A79" w:rsidRPr="00747A30" w:rsidRDefault="00EE7A79" w:rsidP="00EE7A79">
      <w:pPr>
        <w:pStyle w:val="Odsekzoznamu"/>
        <w:ind w:left="426"/>
        <w:contextualSpacing w:val="0"/>
        <w:jc w:val="both"/>
        <w:rPr>
          <w:lang w:val="sk-SK"/>
        </w:rPr>
      </w:pPr>
    </w:p>
    <w:p w14:paraId="2536907B" w14:textId="1279B047" w:rsidR="00E24719" w:rsidRDefault="002E2D67" w:rsidP="00E24719">
      <w:pPr>
        <w:rPr>
          <w:lang w:val="sk-SK"/>
        </w:rPr>
      </w:pPr>
      <w:r w:rsidRPr="00747A30">
        <w:rPr>
          <w:lang w:val="sk-SK"/>
        </w:rPr>
        <w:t>Zjednodušené vykazovanie výdavkov formou štandardizovanej stupnice jednotkových nákladov</w:t>
      </w:r>
      <w:r w:rsidR="00152CDC">
        <w:rPr>
          <w:lang w:val="sk-SK"/>
        </w:rPr>
        <w:t xml:space="preserve"> a paušálnej sadzby na krytie ostatných nákladov.</w:t>
      </w:r>
    </w:p>
    <w:p w14:paraId="4C1296E4" w14:textId="77777777" w:rsidR="00EE7A79" w:rsidRPr="00747A30" w:rsidRDefault="00EE7A79" w:rsidP="00E24719">
      <w:pPr>
        <w:rPr>
          <w:lang w:val="sk-SK"/>
        </w:rPr>
      </w:pPr>
    </w:p>
    <w:p w14:paraId="39517741" w14:textId="77777777" w:rsidR="00E24719" w:rsidRPr="00747A30" w:rsidRDefault="00E24719" w:rsidP="00E24719">
      <w:pPr>
        <w:pStyle w:val="Odsekzoznamu"/>
        <w:numPr>
          <w:ilvl w:val="0"/>
          <w:numId w:val="31"/>
        </w:numPr>
        <w:ind w:left="426" w:hanging="426"/>
        <w:contextualSpacing w:val="0"/>
        <w:jc w:val="both"/>
        <w:rPr>
          <w:lang w:val="sk-SK"/>
        </w:rPr>
      </w:pPr>
      <w:r w:rsidRPr="00747A30">
        <w:rPr>
          <w:lang w:val="sk-SK"/>
        </w:rPr>
        <w:t>Štúdia uskutočniteľnosti vrátane analýzy nákladov a prínosov</w:t>
      </w:r>
    </w:p>
    <w:p w14:paraId="0558D7C7" w14:textId="77777777" w:rsidR="00E24719" w:rsidRPr="00747A30" w:rsidRDefault="00E24719" w:rsidP="00E24719">
      <w:pPr>
        <w:ind w:left="426"/>
        <w:jc w:val="both"/>
        <w:rPr>
          <w:i/>
          <w:lang w:val="sk-SK"/>
        </w:rPr>
      </w:pPr>
      <w:r w:rsidRPr="00747A30">
        <w:rPr>
          <w:i/>
          <w:lang w:val="sk-SK"/>
        </w:rPr>
        <w:t>Informácie sa vypĺňajú iba pre investičné</w:t>
      </w:r>
      <w:r w:rsidRPr="00747A30">
        <w:rPr>
          <w:rStyle w:val="Odkaznapoznmkupodiarou"/>
          <w:i/>
          <w:lang w:val="sk-SK"/>
        </w:rPr>
        <w:footnoteReference w:id="12"/>
      </w:r>
      <w:r w:rsidRPr="00747A30">
        <w:rPr>
          <w:i/>
          <w:lang w:val="sk-SK"/>
        </w:rPr>
        <w:t xml:space="preserve"> typy projektov. </w:t>
      </w:r>
    </w:p>
    <w:p w14:paraId="3C5A94A2" w14:textId="77777777" w:rsidR="00E24719" w:rsidRPr="00747A30" w:rsidRDefault="00E24719" w:rsidP="00E24719">
      <w:pPr>
        <w:jc w:val="both"/>
        <w:rPr>
          <w:i/>
          <w:lang w:val="sk-SK"/>
        </w:rPr>
      </w:pPr>
    </w:p>
    <w:tbl>
      <w:tblPr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5698"/>
      </w:tblGrid>
      <w:tr w:rsidR="00E24719" w:rsidRPr="00747A30" w14:paraId="251A3644" w14:textId="77777777" w:rsidTr="00AD549D">
        <w:tc>
          <w:tcPr>
            <w:tcW w:w="92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4CC30" w14:textId="77777777" w:rsidR="00E24719" w:rsidRPr="00747A30" w:rsidRDefault="00E24719" w:rsidP="00AD549D">
            <w:pPr>
              <w:spacing w:before="120" w:after="120"/>
              <w:rPr>
                <w:rFonts w:eastAsia="Calibri"/>
                <w:b/>
                <w:bCs/>
                <w:iCs/>
                <w:lang w:val="sk-SK"/>
              </w:rPr>
            </w:pPr>
            <w:r w:rsidRPr="00747A30">
              <w:rPr>
                <w:rFonts w:eastAsia="Calibri"/>
                <w:b/>
                <w:bCs/>
                <w:iCs/>
                <w:lang w:val="sk-SK"/>
              </w:rPr>
              <w:t>Štúdia uskutočniteľnosti vrátane analýzy nákladov a prínosov</w:t>
            </w:r>
          </w:p>
        </w:tc>
      </w:tr>
      <w:tr w:rsidR="00E24719" w:rsidRPr="00747A30" w14:paraId="33C98A95" w14:textId="77777777" w:rsidTr="00AD549D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086AC" w14:textId="77777777" w:rsidR="00E24719" w:rsidRPr="00747A30" w:rsidRDefault="00E24719" w:rsidP="00AD549D">
            <w:pPr>
              <w:spacing w:before="60" w:after="60"/>
              <w:rPr>
                <w:rFonts w:eastAsia="Calibri"/>
                <w:bCs/>
                <w:iCs/>
                <w:lang w:val="sk-SK"/>
              </w:rPr>
            </w:pPr>
            <w:r w:rsidRPr="00747A30">
              <w:rPr>
                <w:rFonts w:eastAsia="Calibri"/>
                <w:bCs/>
                <w:iCs/>
                <w:lang w:val="sk-SK"/>
              </w:rPr>
              <w:t>Existuje relevantná štúdia uskutočniteľnosti</w:t>
            </w:r>
            <w:r w:rsidRPr="00747A30">
              <w:rPr>
                <w:rStyle w:val="Odkaznapoznmkupodiarou"/>
                <w:rFonts w:eastAsia="Calibri"/>
                <w:b/>
                <w:bCs/>
                <w:iCs/>
                <w:lang w:val="sk-SK"/>
              </w:rPr>
              <w:footnoteReference w:id="13"/>
            </w:r>
            <w:r w:rsidRPr="00747A30">
              <w:rPr>
                <w:rFonts w:eastAsia="Calibri"/>
                <w:bCs/>
                <w:iCs/>
                <w:lang w:val="sk-SK"/>
              </w:rPr>
              <w:t xml:space="preserve"> ? (áno/nie)</w:t>
            </w:r>
          </w:p>
        </w:tc>
        <w:tc>
          <w:tcPr>
            <w:tcW w:w="5698" w:type="dxa"/>
            <w:shd w:val="clear" w:color="auto" w:fill="auto"/>
          </w:tcPr>
          <w:p w14:paraId="29A8DAA7" w14:textId="77777777" w:rsidR="002E2D67" w:rsidRPr="00747A30" w:rsidRDefault="002E2D67" w:rsidP="002E2D67">
            <w:pPr>
              <w:pStyle w:val="Default"/>
              <w:rPr>
                <w:sz w:val="20"/>
                <w:szCs w:val="20"/>
              </w:rPr>
            </w:pPr>
            <w:r w:rsidRPr="00747A30">
              <w:rPr>
                <w:i/>
                <w:iCs/>
                <w:sz w:val="20"/>
                <w:szCs w:val="20"/>
              </w:rPr>
              <w:t xml:space="preserve">N/A – Nie je aplikovateľné pre projekty OP EVS </w:t>
            </w:r>
          </w:p>
          <w:p w14:paraId="1E5B68A0" w14:textId="77777777" w:rsidR="00E24719" w:rsidRPr="00747A30" w:rsidRDefault="00E24719" w:rsidP="00AD549D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 w:rsidR="00E24719" w:rsidRPr="00747A30" w14:paraId="7E629061" w14:textId="77777777" w:rsidTr="00AD549D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64268" w14:textId="77777777" w:rsidR="00E24719" w:rsidRPr="00747A30" w:rsidRDefault="00E24719" w:rsidP="00AD549D">
            <w:pPr>
              <w:spacing w:after="60"/>
              <w:rPr>
                <w:rFonts w:eastAsia="Calibri"/>
                <w:bCs/>
                <w:iCs/>
                <w:lang w:val="sk-SK"/>
              </w:rPr>
            </w:pPr>
            <w:r w:rsidRPr="00747A30">
              <w:rPr>
                <w:rFonts w:eastAsia="Calibri"/>
                <w:bCs/>
                <w:iCs/>
                <w:lang w:val="sk-SK"/>
              </w:rPr>
              <w:t>Ak je štúdia uskutočniteľnosti dostupná na internete , uveďte jej názov a internetovú adresu, kde je štúdia zverejnená</w:t>
            </w:r>
          </w:p>
        </w:tc>
        <w:tc>
          <w:tcPr>
            <w:tcW w:w="5698" w:type="dxa"/>
            <w:tcBorders>
              <w:bottom w:val="single" w:sz="2" w:space="0" w:color="auto"/>
            </w:tcBorders>
            <w:shd w:val="clear" w:color="auto" w:fill="auto"/>
          </w:tcPr>
          <w:p w14:paraId="43B4CCFF" w14:textId="77777777" w:rsidR="002E2D67" w:rsidRPr="00747A30" w:rsidRDefault="002E2D67" w:rsidP="002E2D67">
            <w:pPr>
              <w:pStyle w:val="Default"/>
              <w:rPr>
                <w:sz w:val="20"/>
                <w:szCs w:val="20"/>
              </w:rPr>
            </w:pPr>
            <w:r w:rsidRPr="00747A30">
              <w:rPr>
                <w:i/>
                <w:iCs/>
                <w:sz w:val="20"/>
                <w:szCs w:val="20"/>
              </w:rPr>
              <w:t xml:space="preserve">N/A – Nie je aplikovateľné pre projekty OP EVS </w:t>
            </w:r>
          </w:p>
          <w:p w14:paraId="17BE662D" w14:textId="77777777" w:rsidR="00E24719" w:rsidRPr="00747A30" w:rsidRDefault="00E24719" w:rsidP="00AD549D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 w:rsidR="00E24719" w:rsidRPr="00747A30" w14:paraId="59C3AF67" w14:textId="77777777" w:rsidTr="00AD549D">
        <w:tc>
          <w:tcPr>
            <w:tcW w:w="36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9D6BF" w14:textId="77777777" w:rsidR="00E24719" w:rsidRPr="00747A30" w:rsidRDefault="00E24719" w:rsidP="00AD549D">
            <w:pPr>
              <w:spacing w:before="60" w:after="60"/>
              <w:rPr>
                <w:rFonts w:eastAsia="Calibri"/>
                <w:bCs/>
                <w:iCs/>
                <w:lang w:val="sk-SK"/>
              </w:rPr>
            </w:pPr>
            <w:r w:rsidRPr="00747A30">
              <w:rPr>
                <w:rFonts w:eastAsia="Calibri"/>
                <w:bCs/>
                <w:iCs/>
                <w:lang w:val="sk-SK"/>
              </w:rPr>
              <w:t>V prípade, že štúdia uskutočniteľnosti nie je  dostupná na internete, uveďte webové sídlo a termín, v ktorom predpokladáte jej zverejnenie (mesiac/rok)</w:t>
            </w:r>
          </w:p>
        </w:tc>
        <w:tc>
          <w:tcPr>
            <w:tcW w:w="56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15A3599" w14:textId="77777777" w:rsidR="002E2D67" w:rsidRPr="00747A30" w:rsidRDefault="002E2D67" w:rsidP="002E2D67">
            <w:pPr>
              <w:pStyle w:val="Default"/>
              <w:rPr>
                <w:sz w:val="20"/>
                <w:szCs w:val="20"/>
              </w:rPr>
            </w:pPr>
            <w:r w:rsidRPr="00747A30">
              <w:rPr>
                <w:i/>
                <w:iCs/>
                <w:sz w:val="20"/>
                <w:szCs w:val="20"/>
              </w:rPr>
              <w:t xml:space="preserve">N/A – Nie je aplikovateľné pre projekty OP EVS </w:t>
            </w:r>
          </w:p>
          <w:p w14:paraId="79C01A73" w14:textId="77777777" w:rsidR="00E24719" w:rsidRPr="00747A30" w:rsidRDefault="00E24719" w:rsidP="00AD549D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</w:tbl>
    <w:p w14:paraId="432CE58C" w14:textId="77777777" w:rsidR="00E24719" w:rsidRPr="00747A30" w:rsidRDefault="00E24719" w:rsidP="00E24719">
      <w:pPr>
        <w:jc w:val="both"/>
        <w:rPr>
          <w:lang w:val="sk-SK"/>
        </w:rPr>
      </w:pPr>
    </w:p>
    <w:p w14:paraId="2789E070" w14:textId="36625E5D" w:rsidR="003477B8" w:rsidRPr="00747A30" w:rsidRDefault="00B50951" w:rsidP="00E24719">
      <w:pPr>
        <w:tabs>
          <w:tab w:val="center" w:pos="4532"/>
          <w:tab w:val="right" w:pos="9064"/>
        </w:tabs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747A30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ab/>
      </w:r>
    </w:p>
    <w:p w14:paraId="2789E071" w14:textId="77777777" w:rsidR="003477B8" w:rsidRPr="00747A30" w:rsidRDefault="003477B8" w:rsidP="003477B8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718F2F83" w14:textId="77777777" w:rsidR="00F82620" w:rsidRPr="00747A30" w:rsidRDefault="00F82620" w:rsidP="00F82620">
      <w:pPr>
        <w:spacing w:line="19" w:lineRule="atLeast"/>
        <w:jc w:val="both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sectPr w:rsidR="00F82620" w:rsidRPr="00747A30" w:rsidSect="00D96D6F">
      <w:footerReference w:type="default" r:id="rId14"/>
      <w:footerReference w:type="first" r:id="rId15"/>
      <w:pgSz w:w="11907" w:h="16840" w:code="9"/>
      <w:pgMar w:top="1644" w:right="1418" w:bottom="1418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2ED2E" w14:textId="77777777" w:rsidR="00C55703" w:rsidRDefault="00C55703" w:rsidP="00B912B9">
      <w:r>
        <w:separator/>
      </w:r>
    </w:p>
  </w:endnote>
  <w:endnote w:type="continuationSeparator" w:id="0">
    <w:p w14:paraId="46C2F4F3" w14:textId="77777777" w:rsidR="00C55703" w:rsidRDefault="00C55703" w:rsidP="00B912B9">
      <w:r>
        <w:continuationSeparator/>
      </w:r>
    </w:p>
  </w:endnote>
  <w:endnote w:type="continuationNotice" w:id="1">
    <w:p w14:paraId="57BCFC1E" w14:textId="77777777" w:rsidR="00C55703" w:rsidRDefault="00C55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BFA760t00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52970" w14:textId="7C93EB43" w:rsidR="00A94589" w:rsidRDefault="00A94589">
    <w:pPr>
      <w:pStyle w:val="Pta"/>
    </w:pPr>
  </w:p>
  <w:p w14:paraId="364F61B3" w14:textId="77777777" w:rsidR="00A94589" w:rsidRDefault="00A9458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882F6" w14:textId="54FD2E59" w:rsidR="00A94589" w:rsidRPr="00D96D6F" w:rsidRDefault="00A94589" w:rsidP="00B46655">
    <w:pPr>
      <w:pStyle w:val="Hlavika"/>
      <w:jc w:val="center"/>
      <w:rPr>
        <w:i/>
        <w:sz w:val="20"/>
        <w:szCs w:val="20"/>
        <w:lang w:val="sk-SK"/>
      </w:rPr>
    </w:pPr>
    <w:r w:rsidRPr="00D96D6F">
      <w:rPr>
        <w:i/>
        <w:sz w:val="20"/>
        <w:szCs w:val="20"/>
        <w:lang w:val="sk-SK"/>
      </w:rPr>
      <w:t xml:space="preserve">Platnosť: </w:t>
    </w:r>
    <w:r>
      <w:rPr>
        <w:i/>
        <w:sz w:val="20"/>
        <w:szCs w:val="20"/>
        <w:lang w:val="sk-SK"/>
      </w:rPr>
      <w:t>28</w:t>
    </w:r>
    <w:r w:rsidRPr="00D96D6F">
      <w:rPr>
        <w:i/>
        <w:sz w:val="20"/>
        <w:szCs w:val="20"/>
        <w:lang w:val="sk-SK"/>
      </w:rPr>
      <w:t xml:space="preserve">.11.2017, účinnosť: </w:t>
    </w:r>
    <w:r>
      <w:rPr>
        <w:i/>
        <w:sz w:val="20"/>
        <w:szCs w:val="20"/>
        <w:lang w:val="sk-SK"/>
      </w:rPr>
      <w:t>28</w:t>
    </w:r>
    <w:r w:rsidRPr="00D96D6F">
      <w:rPr>
        <w:i/>
        <w:sz w:val="20"/>
        <w:szCs w:val="20"/>
        <w:lang w:val="sk-SK"/>
      </w:rPr>
      <w:t>.11.2017</w:t>
    </w:r>
  </w:p>
  <w:p w14:paraId="30910A95" w14:textId="42F9383D" w:rsidR="00A94589" w:rsidRDefault="00A94589">
    <w:pPr>
      <w:pStyle w:val="Pta"/>
    </w:pPr>
  </w:p>
  <w:p w14:paraId="04648C71" w14:textId="77777777" w:rsidR="00A94589" w:rsidRDefault="00A945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0810A" w14:textId="77777777" w:rsidR="00C55703" w:rsidRDefault="00C55703" w:rsidP="00B912B9">
      <w:r>
        <w:separator/>
      </w:r>
    </w:p>
  </w:footnote>
  <w:footnote w:type="continuationSeparator" w:id="0">
    <w:p w14:paraId="2BA6FE7D" w14:textId="77777777" w:rsidR="00C55703" w:rsidRDefault="00C55703" w:rsidP="00B912B9">
      <w:r>
        <w:continuationSeparator/>
      </w:r>
    </w:p>
  </w:footnote>
  <w:footnote w:type="continuationNotice" w:id="1">
    <w:p w14:paraId="37D531F9" w14:textId="77777777" w:rsidR="00C55703" w:rsidRDefault="00C55703"/>
  </w:footnote>
  <w:footnote w:id="2">
    <w:p w14:paraId="2C6F119D" w14:textId="77777777" w:rsidR="00A94589" w:rsidRDefault="00A9458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V tomto dokumente je používaný pojem prijímateľ a žiadateľ. Je to tá istá osoba, no technicky sa žiadateľ stáva prijímateľom až po podpísaní zmluvy o NFP.</w:t>
      </w:r>
    </w:p>
  </w:footnote>
  <w:footnote w:id="3">
    <w:p w14:paraId="3C038123" w14:textId="77777777" w:rsidR="00A94589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F3275A">
        <w:rPr>
          <w:rFonts w:cs="Calibri"/>
        </w:rPr>
        <w:t>Jednoznačne a stručne zdôvodnite výber prijímateľa NP ako jedinečnej osoby oprávnenej na realizáciu NP (napr. odkaz na platné predpisy, operačný program, národnú stratégiu, ktorá odôvodňuje jedinečnosť prijímateľa NP).</w:t>
      </w:r>
      <w:r w:rsidRPr="00F3275A">
        <w:rPr>
          <w:rFonts w:cs="Calibri"/>
          <w:i/>
        </w:rPr>
        <w:t xml:space="preserve"> </w:t>
      </w:r>
    </w:p>
  </w:footnote>
  <w:footnote w:id="4">
    <w:p w14:paraId="6D7DF208" w14:textId="77777777" w:rsidR="00A94589" w:rsidRPr="0023028B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23028B">
        <w:t>Uveďte dôvody pre výber partnerov (ekonomickí, sociálni, profes</w:t>
      </w:r>
      <w:r>
        <w:t>ij</w:t>
      </w:r>
      <w:r w:rsidRPr="0023028B">
        <w:t>ní...). Odôvodnite dôvody vylúčenia akejkoľvek tretej strany ako potenciálneho realizátora.</w:t>
      </w:r>
    </w:p>
  </w:footnote>
  <w:footnote w:id="5">
    <w:p w14:paraId="13BB0057" w14:textId="77777777" w:rsidR="00A94589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Uveďte, na základe akých kritérií bol partner vybraný, alebo ak boli zverejnené, uveďte odkaz na internetovú stránku, kde sú dostupné.</w:t>
      </w:r>
      <w:r w:rsidRPr="0078438D">
        <w:t xml:space="preserve"> Ako kritérium pre výber - určenie partnera môže byť tiež uvedená predchádzajúca spolupráca </w:t>
      </w:r>
      <w:r>
        <w:t xml:space="preserve">žiadateľa </w:t>
      </w:r>
      <w:r w:rsidRPr="0078438D">
        <w:t xml:space="preserve"> s partnerom, ktorá bude náležite opísaná a odôvodnená, avšak nejde o spoluprácu, ktorá by v prípade verejných prostriedkov spadala pod pôsobnosť zákona o</w:t>
      </w:r>
      <w:r>
        <w:t> </w:t>
      </w:r>
      <w:r w:rsidRPr="0078438D">
        <w:t>VO</w:t>
      </w:r>
      <w:r>
        <w:t>.</w:t>
      </w:r>
    </w:p>
  </w:footnote>
  <w:footnote w:id="6">
    <w:p w14:paraId="0808BE95" w14:textId="77777777" w:rsidR="00A94589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V prípade ak je to relevantné, uveďte aj ukončené národné projekty z programového obdobia 2007-2013.</w:t>
      </w:r>
    </w:p>
  </w:footnote>
  <w:footnote w:id="7">
    <w:p w14:paraId="52841DB7" w14:textId="77777777" w:rsidR="00A94589" w:rsidRDefault="00A9458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 xml:space="preserve">e možné uviesť požadované údaje. </w:t>
      </w:r>
    </w:p>
  </w:footnote>
  <w:footnote w:id="8">
    <w:p w14:paraId="3174C92D" w14:textId="77777777" w:rsidR="00A94589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Národný projekt by mal obsahovať minimálne jeden relevantný projektový ukazovateľ, ktorý sa agreguje </w:t>
      </w:r>
      <w:r>
        <w:br/>
        <w:t>do programového ukazovateľa. Pri ostatných projektových ukazovateľoch sa uvedie N/A.</w:t>
      </w:r>
    </w:p>
  </w:footnote>
  <w:footnote w:id="9">
    <w:p w14:paraId="68569910" w14:textId="77777777" w:rsidR="00A94589" w:rsidRDefault="00A9458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>e možné uviesť požadované údaje.</w:t>
      </w:r>
    </w:p>
  </w:footnote>
  <w:footnote w:id="10">
    <w:p w14:paraId="5D3AF339" w14:textId="77777777" w:rsidR="00A94589" w:rsidRPr="00E24719" w:rsidRDefault="00A94589" w:rsidP="00E24719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1">
    <w:p w14:paraId="3991A793" w14:textId="77777777" w:rsidR="00A94589" w:rsidRDefault="00A9458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Ak nie je možné uviesť početnosť cieľovej skupiny, uveďte do tejto časti zdôvodnenie.</w:t>
      </w:r>
    </w:p>
  </w:footnote>
  <w:footnote w:id="12">
    <w:p w14:paraId="23D69263" w14:textId="77777777" w:rsidR="00A94589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DB46EC">
        <w:rPr>
          <w:iCs/>
          <w:color w:val="000000"/>
        </w:rPr>
        <w:t>Investičný projekt</w:t>
      </w:r>
      <w:r>
        <w:rPr>
          <w:i/>
          <w:iCs/>
          <w:color w:val="000000"/>
        </w:rPr>
        <w:t xml:space="preserve"> – </w:t>
      </w:r>
      <w:r>
        <w:rPr>
          <w:color w:val="000000"/>
        </w:rPr>
        <w:t xml:space="preserve">dlhodobá alokácia finančného aj nefinančného kapitálu na naplnenie investičného zámeru až do etapy, kedy projekt vstúpi do prevádzkovej etapy a prípadne začne generovať stabilné príjmy. Investičný projekt smeruje k: výstavbe stavby alebo jej technickému zhodnoteniu; nákupu pozemkov, budov, objektov alebo ich častí; nákupu strojov, prístrojov, tovarov a zariadení; obstaraniu nehmotného majetku vrátane softvéru. Zdroj: </w:t>
      </w:r>
      <w:r w:rsidRPr="00CF5336">
        <w:t>Uznesenie Vlády SR č. 300 z 21.6.2017 k návrhu Rámca na hodnotenie verejných investičných projektov v</w:t>
      </w:r>
      <w:r>
        <w:t> </w:t>
      </w:r>
      <w:r w:rsidRPr="00CF5336">
        <w:t>SR</w:t>
      </w:r>
      <w:r>
        <w:t>.</w:t>
      </w:r>
    </w:p>
  </w:footnote>
  <w:footnote w:id="13">
    <w:p w14:paraId="79BAAD96" w14:textId="77777777" w:rsidR="00A94589" w:rsidRDefault="00A9458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 Pozri aj </w:t>
      </w:r>
      <w:r w:rsidRPr="00D06BEC">
        <w:t xml:space="preserve"> Uznesen</w:t>
      </w:r>
      <w:r>
        <w:t>ie</w:t>
      </w:r>
      <w:r w:rsidRPr="00D06BEC">
        <w:t xml:space="preserve"> Vlády SR č. 300 z 21.6.2017 k návrhu k návrhu Rámca na hodnotenie verejných investičných projektov v</w:t>
      </w:r>
      <w:r>
        <w:t> </w:t>
      </w:r>
      <w:r w:rsidRPr="00D06BEC">
        <w:t>SR</w:t>
      </w:r>
      <w:r>
        <w:t xml:space="preserve"> (dostupné na:</w:t>
      </w:r>
    </w:p>
    <w:p w14:paraId="09A25A97" w14:textId="77777777" w:rsidR="00A94589" w:rsidRDefault="00C55703" w:rsidP="00E24719">
      <w:pPr>
        <w:pStyle w:val="Textpoznmkypodiarou"/>
        <w:jc w:val="both"/>
      </w:pPr>
      <w:hyperlink r:id="rId1" w:history="1">
        <w:r w:rsidR="00A94589" w:rsidRPr="00F2730A">
          <w:rPr>
            <w:rStyle w:val="Hypertextovprepojenie"/>
          </w:rPr>
          <w:t>http://www.rokovania.sk/Rokovanie.aspx/BodRokovaniaDetail?idMaterial=26598</w:t>
        </w:r>
      </w:hyperlink>
      <w:r w:rsidR="00A94589">
        <w:t xml:space="preserve"> 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C5"/>
    <w:multiLevelType w:val="hybridMultilevel"/>
    <w:tmpl w:val="C728CD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1FA5"/>
    <w:multiLevelType w:val="hybridMultilevel"/>
    <w:tmpl w:val="EB56E3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041A4"/>
    <w:multiLevelType w:val="hybridMultilevel"/>
    <w:tmpl w:val="F9BE733A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5F62BA"/>
    <w:multiLevelType w:val="hybridMultilevel"/>
    <w:tmpl w:val="AB78A8C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444E35"/>
    <w:multiLevelType w:val="multilevel"/>
    <w:tmpl w:val="717AB7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D76D8B"/>
    <w:multiLevelType w:val="hybridMultilevel"/>
    <w:tmpl w:val="83CED3F8"/>
    <w:lvl w:ilvl="0" w:tplc="6B4C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344823"/>
    <w:multiLevelType w:val="hybridMultilevel"/>
    <w:tmpl w:val="70F27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A6F18"/>
    <w:multiLevelType w:val="hybridMultilevel"/>
    <w:tmpl w:val="999A2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90A6A"/>
    <w:multiLevelType w:val="hybridMultilevel"/>
    <w:tmpl w:val="6E86A6B8"/>
    <w:lvl w:ilvl="0" w:tplc="5DF4E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72B4A"/>
    <w:multiLevelType w:val="hybridMultilevel"/>
    <w:tmpl w:val="086C6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847F7"/>
    <w:multiLevelType w:val="hybridMultilevel"/>
    <w:tmpl w:val="251C0E28"/>
    <w:lvl w:ilvl="0" w:tplc="B92A373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64C46"/>
    <w:multiLevelType w:val="hybridMultilevel"/>
    <w:tmpl w:val="A77247B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54FDE"/>
    <w:multiLevelType w:val="hybridMultilevel"/>
    <w:tmpl w:val="D30AE124"/>
    <w:lvl w:ilvl="0" w:tplc="1E6E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F4053"/>
    <w:multiLevelType w:val="hybridMultilevel"/>
    <w:tmpl w:val="FCB2D9D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436D6C"/>
    <w:multiLevelType w:val="hybridMultilevel"/>
    <w:tmpl w:val="9EB639E2"/>
    <w:lvl w:ilvl="0" w:tplc="3C34F7D8">
      <w:start w:val="1"/>
      <w:numFmt w:val="bullet"/>
      <w:pStyle w:val="Seznam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22332">
      <w:start w:val="1"/>
      <w:numFmt w:val="bullet"/>
      <w:pStyle w:val="Lis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CF2D9C"/>
    <w:multiLevelType w:val="hybridMultilevel"/>
    <w:tmpl w:val="47141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26A85"/>
    <w:multiLevelType w:val="hybridMultilevel"/>
    <w:tmpl w:val="CF929980"/>
    <w:lvl w:ilvl="0" w:tplc="38E4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B5D46"/>
    <w:multiLevelType w:val="hybridMultilevel"/>
    <w:tmpl w:val="9CD41C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B6343"/>
    <w:multiLevelType w:val="hybridMultilevel"/>
    <w:tmpl w:val="9DB829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D25D8"/>
    <w:multiLevelType w:val="hybridMultilevel"/>
    <w:tmpl w:val="D9227524"/>
    <w:lvl w:ilvl="0" w:tplc="3244D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F757C"/>
    <w:multiLevelType w:val="hybridMultilevel"/>
    <w:tmpl w:val="EB5CCFA4"/>
    <w:lvl w:ilvl="0" w:tplc="629EDD3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27A23"/>
    <w:multiLevelType w:val="hybridMultilevel"/>
    <w:tmpl w:val="3B3019CC"/>
    <w:lvl w:ilvl="0" w:tplc="0BE010D8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1527C"/>
    <w:multiLevelType w:val="hybridMultilevel"/>
    <w:tmpl w:val="289684C8"/>
    <w:lvl w:ilvl="0" w:tplc="629ED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9391C"/>
    <w:multiLevelType w:val="hybridMultilevel"/>
    <w:tmpl w:val="10584FFC"/>
    <w:lvl w:ilvl="0" w:tplc="F2843B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D325C5"/>
    <w:multiLevelType w:val="hybridMultilevel"/>
    <w:tmpl w:val="9BBCF4E4"/>
    <w:lvl w:ilvl="0" w:tplc="7D36DD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74A08"/>
    <w:multiLevelType w:val="hybridMultilevel"/>
    <w:tmpl w:val="D2FC980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90D7C"/>
    <w:multiLevelType w:val="hybridMultilevel"/>
    <w:tmpl w:val="6704869C"/>
    <w:lvl w:ilvl="0" w:tplc="22962D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05128B"/>
    <w:multiLevelType w:val="hybridMultilevel"/>
    <w:tmpl w:val="9718D8FA"/>
    <w:lvl w:ilvl="0" w:tplc="75A84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F44D7"/>
    <w:multiLevelType w:val="hybridMultilevel"/>
    <w:tmpl w:val="00EA7F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6A6B48"/>
    <w:multiLevelType w:val="hybridMultilevel"/>
    <w:tmpl w:val="75F6DCD4"/>
    <w:lvl w:ilvl="0" w:tplc="A6ACAC9C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63BAF"/>
    <w:multiLevelType w:val="hybridMultilevel"/>
    <w:tmpl w:val="811CAF84"/>
    <w:lvl w:ilvl="0" w:tplc="CFE4FE7A">
      <w:start w:val="1"/>
      <w:numFmt w:val="decimal"/>
      <w:lvlText w:val="%1."/>
      <w:lvlJc w:val="left"/>
      <w:pPr>
        <w:ind w:left="720" w:hanging="360"/>
      </w:pPr>
      <w:rPr>
        <w:rFonts w:ascii="Verdana" w:hAnsi="Verdana" w:cs="TTE1BFA760t00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634AB"/>
    <w:multiLevelType w:val="hybridMultilevel"/>
    <w:tmpl w:val="26B2EE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16"/>
  </w:num>
  <w:num w:numId="9">
    <w:abstractNumId w:val="30"/>
  </w:num>
  <w:num w:numId="10">
    <w:abstractNumId w:val="11"/>
  </w:num>
  <w:num w:numId="11">
    <w:abstractNumId w:val="5"/>
  </w:num>
  <w:num w:numId="12">
    <w:abstractNumId w:val="28"/>
  </w:num>
  <w:num w:numId="13">
    <w:abstractNumId w:val="7"/>
  </w:num>
  <w:num w:numId="14">
    <w:abstractNumId w:val="20"/>
  </w:num>
  <w:num w:numId="15">
    <w:abstractNumId w:val="22"/>
  </w:num>
  <w:num w:numId="16">
    <w:abstractNumId w:val="26"/>
  </w:num>
  <w:num w:numId="17">
    <w:abstractNumId w:val="9"/>
  </w:num>
  <w:num w:numId="18">
    <w:abstractNumId w:val="10"/>
  </w:num>
  <w:num w:numId="19">
    <w:abstractNumId w:val="29"/>
  </w:num>
  <w:num w:numId="20">
    <w:abstractNumId w:val="19"/>
  </w:num>
  <w:num w:numId="21">
    <w:abstractNumId w:val="31"/>
  </w:num>
  <w:num w:numId="22">
    <w:abstractNumId w:val="8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21"/>
  </w:num>
  <w:num w:numId="31">
    <w:abstractNumId w:val="0"/>
  </w:num>
  <w:num w:numId="32">
    <w:abstractNumId w:val="4"/>
  </w:num>
  <w:num w:numId="33">
    <w:abstractNumId w:val="2"/>
  </w:num>
  <w:num w:numId="34">
    <w:abstractNumId w:val="24"/>
  </w:num>
  <w:num w:numId="35">
    <w:abstractNumId w:val="25"/>
  </w:num>
  <w:num w:numId="36">
    <w:abstractNumId w:val="15"/>
  </w:num>
  <w:num w:numId="37">
    <w:abstractNumId w:val="6"/>
  </w:num>
  <w:num w:numId="38">
    <w:abstractNumId w:val="27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dolf Hrudkay">
    <w15:presenceInfo w15:providerId="Windows Live" w15:userId="bb2805956cccde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16B10"/>
    <w:rsid w:val="000217D3"/>
    <w:rsid w:val="00026057"/>
    <w:rsid w:val="00031994"/>
    <w:rsid w:val="00032D98"/>
    <w:rsid w:val="00034AD6"/>
    <w:rsid w:val="0004141B"/>
    <w:rsid w:val="00041A27"/>
    <w:rsid w:val="00043F64"/>
    <w:rsid w:val="0004784A"/>
    <w:rsid w:val="000500D7"/>
    <w:rsid w:val="000504D5"/>
    <w:rsid w:val="000510FF"/>
    <w:rsid w:val="000533A3"/>
    <w:rsid w:val="000612B2"/>
    <w:rsid w:val="00061E00"/>
    <w:rsid w:val="000661E7"/>
    <w:rsid w:val="000724F6"/>
    <w:rsid w:val="00074C30"/>
    <w:rsid w:val="00075BFE"/>
    <w:rsid w:val="00076693"/>
    <w:rsid w:val="00077B51"/>
    <w:rsid w:val="00080B78"/>
    <w:rsid w:val="00082D10"/>
    <w:rsid w:val="00083927"/>
    <w:rsid w:val="00084B0B"/>
    <w:rsid w:val="000968A6"/>
    <w:rsid w:val="00097F6B"/>
    <w:rsid w:val="000A0128"/>
    <w:rsid w:val="000A1026"/>
    <w:rsid w:val="000A1D59"/>
    <w:rsid w:val="000A2865"/>
    <w:rsid w:val="000A3A54"/>
    <w:rsid w:val="000A40FC"/>
    <w:rsid w:val="000A4522"/>
    <w:rsid w:val="000A6071"/>
    <w:rsid w:val="000A6861"/>
    <w:rsid w:val="000A6C5B"/>
    <w:rsid w:val="000B0FE5"/>
    <w:rsid w:val="000B1B9C"/>
    <w:rsid w:val="000B1FD1"/>
    <w:rsid w:val="000B63B0"/>
    <w:rsid w:val="000C2100"/>
    <w:rsid w:val="000C32FE"/>
    <w:rsid w:val="000C5B63"/>
    <w:rsid w:val="000D2291"/>
    <w:rsid w:val="000D666E"/>
    <w:rsid w:val="000E45F4"/>
    <w:rsid w:val="000E7F5C"/>
    <w:rsid w:val="000F1608"/>
    <w:rsid w:val="000F1803"/>
    <w:rsid w:val="000F2B1C"/>
    <w:rsid w:val="000F36B9"/>
    <w:rsid w:val="000F75B1"/>
    <w:rsid w:val="00107015"/>
    <w:rsid w:val="00112568"/>
    <w:rsid w:val="00112B97"/>
    <w:rsid w:val="00116861"/>
    <w:rsid w:val="001240F1"/>
    <w:rsid w:val="0012542C"/>
    <w:rsid w:val="001329ED"/>
    <w:rsid w:val="0013398C"/>
    <w:rsid w:val="001353D4"/>
    <w:rsid w:val="0015188A"/>
    <w:rsid w:val="00152CDC"/>
    <w:rsid w:val="00157184"/>
    <w:rsid w:val="00163CCE"/>
    <w:rsid w:val="001701EE"/>
    <w:rsid w:val="001719D1"/>
    <w:rsid w:val="001719E1"/>
    <w:rsid w:val="00171AD2"/>
    <w:rsid w:val="001720BB"/>
    <w:rsid w:val="00173AF0"/>
    <w:rsid w:val="00174E8D"/>
    <w:rsid w:val="001771D6"/>
    <w:rsid w:val="00177BA2"/>
    <w:rsid w:val="00177CA2"/>
    <w:rsid w:val="00180AED"/>
    <w:rsid w:val="0018568B"/>
    <w:rsid w:val="001926EC"/>
    <w:rsid w:val="00197E02"/>
    <w:rsid w:val="001A3BE0"/>
    <w:rsid w:val="001B329A"/>
    <w:rsid w:val="001B6FDB"/>
    <w:rsid w:val="001C478F"/>
    <w:rsid w:val="001C68C6"/>
    <w:rsid w:val="001D4196"/>
    <w:rsid w:val="001E0744"/>
    <w:rsid w:val="001E0F53"/>
    <w:rsid w:val="001E51B2"/>
    <w:rsid w:val="001E6609"/>
    <w:rsid w:val="001E67F5"/>
    <w:rsid w:val="001F5530"/>
    <w:rsid w:val="001F62E4"/>
    <w:rsid w:val="001F6395"/>
    <w:rsid w:val="0020090F"/>
    <w:rsid w:val="00201900"/>
    <w:rsid w:val="00202D69"/>
    <w:rsid w:val="00204CB8"/>
    <w:rsid w:val="002063CA"/>
    <w:rsid w:val="0021015C"/>
    <w:rsid w:val="002102CF"/>
    <w:rsid w:val="00211423"/>
    <w:rsid w:val="0021270F"/>
    <w:rsid w:val="002137BF"/>
    <w:rsid w:val="00213AE3"/>
    <w:rsid w:val="00216367"/>
    <w:rsid w:val="00224602"/>
    <w:rsid w:val="002256B9"/>
    <w:rsid w:val="0022599B"/>
    <w:rsid w:val="00226143"/>
    <w:rsid w:val="00231774"/>
    <w:rsid w:val="0023308D"/>
    <w:rsid w:val="00234099"/>
    <w:rsid w:val="0023741E"/>
    <w:rsid w:val="0024184D"/>
    <w:rsid w:val="0024635E"/>
    <w:rsid w:val="00250F3B"/>
    <w:rsid w:val="00252B4F"/>
    <w:rsid w:val="00253B45"/>
    <w:rsid w:val="00254143"/>
    <w:rsid w:val="00254854"/>
    <w:rsid w:val="002607F1"/>
    <w:rsid w:val="002659D7"/>
    <w:rsid w:val="00265A93"/>
    <w:rsid w:val="00265B82"/>
    <w:rsid w:val="00266E66"/>
    <w:rsid w:val="0027003D"/>
    <w:rsid w:val="00271AB0"/>
    <w:rsid w:val="002732D9"/>
    <w:rsid w:val="002773C4"/>
    <w:rsid w:val="002839E7"/>
    <w:rsid w:val="00285106"/>
    <w:rsid w:val="00286C24"/>
    <w:rsid w:val="00287328"/>
    <w:rsid w:val="00290A46"/>
    <w:rsid w:val="00290AB4"/>
    <w:rsid w:val="002A0890"/>
    <w:rsid w:val="002A10F6"/>
    <w:rsid w:val="002A3123"/>
    <w:rsid w:val="002B059E"/>
    <w:rsid w:val="002B2348"/>
    <w:rsid w:val="002B573A"/>
    <w:rsid w:val="002B5CA6"/>
    <w:rsid w:val="002B7ACE"/>
    <w:rsid w:val="002C0948"/>
    <w:rsid w:val="002C3211"/>
    <w:rsid w:val="002C4A4B"/>
    <w:rsid w:val="002C58B2"/>
    <w:rsid w:val="002C5FAD"/>
    <w:rsid w:val="002C6AB8"/>
    <w:rsid w:val="002C6E4A"/>
    <w:rsid w:val="002D2DF7"/>
    <w:rsid w:val="002D385C"/>
    <w:rsid w:val="002D59D0"/>
    <w:rsid w:val="002E1880"/>
    <w:rsid w:val="002E2D67"/>
    <w:rsid w:val="002E4FCC"/>
    <w:rsid w:val="002E59DF"/>
    <w:rsid w:val="002F2906"/>
    <w:rsid w:val="002F2CD5"/>
    <w:rsid w:val="002F3E05"/>
    <w:rsid w:val="002F4DBF"/>
    <w:rsid w:val="002F6285"/>
    <w:rsid w:val="002F647D"/>
    <w:rsid w:val="003008D0"/>
    <w:rsid w:val="0030547C"/>
    <w:rsid w:val="00306007"/>
    <w:rsid w:val="00306882"/>
    <w:rsid w:val="003126FA"/>
    <w:rsid w:val="003137D1"/>
    <w:rsid w:val="00313CCA"/>
    <w:rsid w:val="00321000"/>
    <w:rsid w:val="003234FF"/>
    <w:rsid w:val="00326DBD"/>
    <w:rsid w:val="00327039"/>
    <w:rsid w:val="00327275"/>
    <w:rsid w:val="003318F1"/>
    <w:rsid w:val="003337AC"/>
    <w:rsid w:val="0033396F"/>
    <w:rsid w:val="00334A6B"/>
    <w:rsid w:val="0033690A"/>
    <w:rsid w:val="0034035B"/>
    <w:rsid w:val="00340D2C"/>
    <w:rsid w:val="003411D3"/>
    <w:rsid w:val="00342462"/>
    <w:rsid w:val="00342E24"/>
    <w:rsid w:val="00345647"/>
    <w:rsid w:val="003477B8"/>
    <w:rsid w:val="003510B4"/>
    <w:rsid w:val="003515D7"/>
    <w:rsid w:val="00357E12"/>
    <w:rsid w:val="00362269"/>
    <w:rsid w:val="00375FB4"/>
    <w:rsid w:val="0037630B"/>
    <w:rsid w:val="00377CE5"/>
    <w:rsid w:val="00380EB4"/>
    <w:rsid w:val="00381581"/>
    <w:rsid w:val="003824F8"/>
    <w:rsid w:val="0039088E"/>
    <w:rsid w:val="00392324"/>
    <w:rsid w:val="00392546"/>
    <w:rsid w:val="00392FA8"/>
    <w:rsid w:val="0039385C"/>
    <w:rsid w:val="003945EE"/>
    <w:rsid w:val="00395D76"/>
    <w:rsid w:val="003A0517"/>
    <w:rsid w:val="003A631F"/>
    <w:rsid w:val="003B0D9D"/>
    <w:rsid w:val="003B25A0"/>
    <w:rsid w:val="003B2ABD"/>
    <w:rsid w:val="003B5CC0"/>
    <w:rsid w:val="003B6C1D"/>
    <w:rsid w:val="003B7185"/>
    <w:rsid w:val="003B79B9"/>
    <w:rsid w:val="003C1C99"/>
    <w:rsid w:val="003C1F85"/>
    <w:rsid w:val="003C2314"/>
    <w:rsid w:val="003C47A9"/>
    <w:rsid w:val="003C5448"/>
    <w:rsid w:val="003C7A4E"/>
    <w:rsid w:val="003D21C6"/>
    <w:rsid w:val="003D279F"/>
    <w:rsid w:val="003D41BC"/>
    <w:rsid w:val="003D5AB1"/>
    <w:rsid w:val="003E1C2D"/>
    <w:rsid w:val="003E3882"/>
    <w:rsid w:val="003E59D2"/>
    <w:rsid w:val="003F3C33"/>
    <w:rsid w:val="00402164"/>
    <w:rsid w:val="00402A62"/>
    <w:rsid w:val="00405F10"/>
    <w:rsid w:val="0040659F"/>
    <w:rsid w:val="00411F5E"/>
    <w:rsid w:val="0041203D"/>
    <w:rsid w:val="004123DA"/>
    <w:rsid w:val="00414938"/>
    <w:rsid w:val="0041718B"/>
    <w:rsid w:val="0042091C"/>
    <w:rsid w:val="004228E5"/>
    <w:rsid w:val="00423918"/>
    <w:rsid w:val="0042404E"/>
    <w:rsid w:val="00427DDB"/>
    <w:rsid w:val="004340D6"/>
    <w:rsid w:val="00437548"/>
    <w:rsid w:val="004400D3"/>
    <w:rsid w:val="004417CB"/>
    <w:rsid w:val="004458AA"/>
    <w:rsid w:val="004473AE"/>
    <w:rsid w:val="00454AD2"/>
    <w:rsid w:val="0045519B"/>
    <w:rsid w:val="004553F9"/>
    <w:rsid w:val="00455F69"/>
    <w:rsid w:val="00457EB8"/>
    <w:rsid w:val="00461779"/>
    <w:rsid w:val="004638A5"/>
    <w:rsid w:val="00473708"/>
    <w:rsid w:val="0047446A"/>
    <w:rsid w:val="004759BD"/>
    <w:rsid w:val="00475BE2"/>
    <w:rsid w:val="00481E7D"/>
    <w:rsid w:val="00482B3A"/>
    <w:rsid w:val="004908D2"/>
    <w:rsid w:val="00493CAF"/>
    <w:rsid w:val="0049451C"/>
    <w:rsid w:val="004A246D"/>
    <w:rsid w:val="004B0DE3"/>
    <w:rsid w:val="004B2BB9"/>
    <w:rsid w:val="004B363B"/>
    <w:rsid w:val="004C0D3C"/>
    <w:rsid w:val="004C4F19"/>
    <w:rsid w:val="004C540E"/>
    <w:rsid w:val="004D3632"/>
    <w:rsid w:val="004D73EE"/>
    <w:rsid w:val="004D76A8"/>
    <w:rsid w:val="004E1CD2"/>
    <w:rsid w:val="004E30EF"/>
    <w:rsid w:val="004E4E05"/>
    <w:rsid w:val="004E5112"/>
    <w:rsid w:val="004E76DC"/>
    <w:rsid w:val="004F1D1F"/>
    <w:rsid w:val="004F4C15"/>
    <w:rsid w:val="004F6CE1"/>
    <w:rsid w:val="005055AD"/>
    <w:rsid w:val="005102F4"/>
    <w:rsid w:val="00512DEA"/>
    <w:rsid w:val="00513BE1"/>
    <w:rsid w:val="00516E52"/>
    <w:rsid w:val="00522FD9"/>
    <w:rsid w:val="005308F1"/>
    <w:rsid w:val="00531C62"/>
    <w:rsid w:val="00533C06"/>
    <w:rsid w:val="005349E4"/>
    <w:rsid w:val="00537C3D"/>
    <w:rsid w:val="0054017D"/>
    <w:rsid w:val="00541297"/>
    <w:rsid w:val="0054163C"/>
    <w:rsid w:val="0054406E"/>
    <w:rsid w:val="00546A76"/>
    <w:rsid w:val="00551081"/>
    <w:rsid w:val="00554351"/>
    <w:rsid w:val="005563F4"/>
    <w:rsid w:val="005633F4"/>
    <w:rsid w:val="00570A89"/>
    <w:rsid w:val="005765E6"/>
    <w:rsid w:val="0057735E"/>
    <w:rsid w:val="005811E6"/>
    <w:rsid w:val="005819F8"/>
    <w:rsid w:val="00585786"/>
    <w:rsid w:val="005928DF"/>
    <w:rsid w:val="005928E5"/>
    <w:rsid w:val="00593AF7"/>
    <w:rsid w:val="005955E0"/>
    <w:rsid w:val="00595832"/>
    <w:rsid w:val="005B0AF9"/>
    <w:rsid w:val="005B6096"/>
    <w:rsid w:val="005B6CC6"/>
    <w:rsid w:val="005C132D"/>
    <w:rsid w:val="005C35BC"/>
    <w:rsid w:val="005C4E22"/>
    <w:rsid w:val="005D0A07"/>
    <w:rsid w:val="005D372E"/>
    <w:rsid w:val="005D4801"/>
    <w:rsid w:val="005D5EA0"/>
    <w:rsid w:val="005D74B6"/>
    <w:rsid w:val="005E61A0"/>
    <w:rsid w:val="005E6EAE"/>
    <w:rsid w:val="005F55A3"/>
    <w:rsid w:val="005F5EAD"/>
    <w:rsid w:val="005F7534"/>
    <w:rsid w:val="00600878"/>
    <w:rsid w:val="00606F11"/>
    <w:rsid w:val="00612A33"/>
    <w:rsid w:val="00612F40"/>
    <w:rsid w:val="0061461A"/>
    <w:rsid w:val="006149C0"/>
    <w:rsid w:val="00622E66"/>
    <w:rsid w:val="00626A8E"/>
    <w:rsid w:val="006276D8"/>
    <w:rsid w:val="006304D8"/>
    <w:rsid w:val="0063411C"/>
    <w:rsid w:val="006341AB"/>
    <w:rsid w:val="00634A29"/>
    <w:rsid w:val="00637F82"/>
    <w:rsid w:val="00650A75"/>
    <w:rsid w:val="00651988"/>
    <w:rsid w:val="00661399"/>
    <w:rsid w:val="0066336D"/>
    <w:rsid w:val="00665CAD"/>
    <w:rsid w:val="00670CF2"/>
    <w:rsid w:val="006722BB"/>
    <w:rsid w:val="00672D85"/>
    <w:rsid w:val="00675086"/>
    <w:rsid w:val="0067532E"/>
    <w:rsid w:val="00675B06"/>
    <w:rsid w:val="00677A1F"/>
    <w:rsid w:val="00680CE6"/>
    <w:rsid w:val="00681E34"/>
    <w:rsid w:val="0068248C"/>
    <w:rsid w:val="00683684"/>
    <w:rsid w:val="00684965"/>
    <w:rsid w:val="0068509F"/>
    <w:rsid w:val="00686E99"/>
    <w:rsid w:val="006875D3"/>
    <w:rsid w:val="00687A2B"/>
    <w:rsid w:val="00687F0F"/>
    <w:rsid w:val="00691018"/>
    <w:rsid w:val="00691B5C"/>
    <w:rsid w:val="00692CCA"/>
    <w:rsid w:val="00692DD3"/>
    <w:rsid w:val="006933EA"/>
    <w:rsid w:val="006A078A"/>
    <w:rsid w:val="006A40E2"/>
    <w:rsid w:val="006A41EB"/>
    <w:rsid w:val="006A574B"/>
    <w:rsid w:val="006B0632"/>
    <w:rsid w:val="006B0A95"/>
    <w:rsid w:val="006B1579"/>
    <w:rsid w:val="006B1BFD"/>
    <w:rsid w:val="006B26BA"/>
    <w:rsid w:val="006B3E3C"/>
    <w:rsid w:val="006B59F7"/>
    <w:rsid w:val="006B64BF"/>
    <w:rsid w:val="006C1016"/>
    <w:rsid w:val="006C507E"/>
    <w:rsid w:val="006D1476"/>
    <w:rsid w:val="006D1D35"/>
    <w:rsid w:val="006D54E9"/>
    <w:rsid w:val="006D5787"/>
    <w:rsid w:val="006D66D2"/>
    <w:rsid w:val="006E4990"/>
    <w:rsid w:val="006E6BB3"/>
    <w:rsid w:val="006F0182"/>
    <w:rsid w:val="006F0DB0"/>
    <w:rsid w:val="006F45A7"/>
    <w:rsid w:val="00711E43"/>
    <w:rsid w:val="00712308"/>
    <w:rsid w:val="0071508F"/>
    <w:rsid w:val="007171B9"/>
    <w:rsid w:val="00717B13"/>
    <w:rsid w:val="00717E7D"/>
    <w:rsid w:val="007233B7"/>
    <w:rsid w:val="00725530"/>
    <w:rsid w:val="00725EB2"/>
    <w:rsid w:val="00731CA5"/>
    <w:rsid w:val="0073458D"/>
    <w:rsid w:val="00735E55"/>
    <w:rsid w:val="00746183"/>
    <w:rsid w:val="007468A3"/>
    <w:rsid w:val="00747A30"/>
    <w:rsid w:val="0075150F"/>
    <w:rsid w:val="007579FE"/>
    <w:rsid w:val="00761DFB"/>
    <w:rsid w:val="00770509"/>
    <w:rsid w:val="00771A58"/>
    <w:rsid w:val="00774B03"/>
    <w:rsid w:val="00774FBE"/>
    <w:rsid w:val="00775301"/>
    <w:rsid w:val="007800D2"/>
    <w:rsid w:val="007812C6"/>
    <w:rsid w:val="00787D4E"/>
    <w:rsid w:val="007954A2"/>
    <w:rsid w:val="007A4A78"/>
    <w:rsid w:val="007A79C9"/>
    <w:rsid w:val="007B0B98"/>
    <w:rsid w:val="007B113B"/>
    <w:rsid w:val="007B1387"/>
    <w:rsid w:val="007B4545"/>
    <w:rsid w:val="007B5331"/>
    <w:rsid w:val="007C22CE"/>
    <w:rsid w:val="007C2901"/>
    <w:rsid w:val="007C318E"/>
    <w:rsid w:val="007C7947"/>
    <w:rsid w:val="007E17F1"/>
    <w:rsid w:val="007E1F9D"/>
    <w:rsid w:val="007E308F"/>
    <w:rsid w:val="007E47E5"/>
    <w:rsid w:val="007E5F0D"/>
    <w:rsid w:val="007F0913"/>
    <w:rsid w:val="007F2B5D"/>
    <w:rsid w:val="007F752C"/>
    <w:rsid w:val="00800319"/>
    <w:rsid w:val="008017AF"/>
    <w:rsid w:val="00803954"/>
    <w:rsid w:val="00804754"/>
    <w:rsid w:val="00806C35"/>
    <w:rsid w:val="00807F65"/>
    <w:rsid w:val="00810684"/>
    <w:rsid w:val="00815154"/>
    <w:rsid w:val="00820CB4"/>
    <w:rsid w:val="00823DCA"/>
    <w:rsid w:val="00826C81"/>
    <w:rsid w:val="00826ED7"/>
    <w:rsid w:val="008311DA"/>
    <w:rsid w:val="008349B3"/>
    <w:rsid w:val="00835905"/>
    <w:rsid w:val="00835CFA"/>
    <w:rsid w:val="008405D1"/>
    <w:rsid w:val="008438B5"/>
    <w:rsid w:val="00843F93"/>
    <w:rsid w:val="00844392"/>
    <w:rsid w:val="0084609C"/>
    <w:rsid w:val="00854E29"/>
    <w:rsid w:val="00856785"/>
    <w:rsid w:val="00856B74"/>
    <w:rsid w:val="008640C8"/>
    <w:rsid w:val="008647C0"/>
    <w:rsid w:val="00873DFD"/>
    <w:rsid w:val="00874338"/>
    <w:rsid w:val="008753DF"/>
    <w:rsid w:val="00875CCB"/>
    <w:rsid w:val="00880A2F"/>
    <w:rsid w:val="00880C65"/>
    <w:rsid w:val="008832F6"/>
    <w:rsid w:val="0088404A"/>
    <w:rsid w:val="008869D2"/>
    <w:rsid w:val="0088762A"/>
    <w:rsid w:val="008947ED"/>
    <w:rsid w:val="0089777E"/>
    <w:rsid w:val="008A2388"/>
    <w:rsid w:val="008A4A7F"/>
    <w:rsid w:val="008A7DDB"/>
    <w:rsid w:val="008B2B04"/>
    <w:rsid w:val="008B4A1A"/>
    <w:rsid w:val="008B5211"/>
    <w:rsid w:val="008B6C11"/>
    <w:rsid w:val="008B6F85"/>
    <w:rsid w:val="008C22E5"/>
    <w:rsid w:val="008D3595"/>
    <w:rsid w:val="008D4C39"/>
    <w:rsid w:val="008D6CEC"/>
    <w:rsid w:val="008E1679"/>
    <w:rsid w:val="008E20AD"/>
    <w:rsid w:val="008E4537"/>
    <w:rsid w:val="008E4A50"/>
    <w:rsid w:val="008E4B77"/>
    <w:rsid w:val="008E634F"/>
    <w:rsid w:val="008F136B"/>
    <w:rsid w:val="008F6C05"/>
    <w:rsid w:val="00901362"/>
    <w:rsid w:val="00903EDE"/>
    <w:rsid w:val="00904A48"/>
    <w:rsid w:val="00910CD0"/>
    <w:rsid w:val="0091369A"/>
    <w:rsid w:val="009173A8"/>
    <w:rsid w:val="00921E3C"/>
    <w:rsid w:val="009238CB"/>
    <w:rsid w:val="00926695"/>
    <w:rsid w:val="00934A89"/>
    <w:rsid w:val="00934AD0"/>
    <w:rsid w:val="00945602"/>
    <w:rsid w:val="00962FA2"/>
    <w:rsid w:val="0096473B"/>
    <w:rsid w:val="00967757"/>
    <w:rsid w:val="00976A63"/>
    <w:rsid w:val="00984D6F"/>
    <w:rsid w:val="00986692"/>
    <w:rsid w:val="00986C65"/>
    <w:rsid w:val="0099107E"/>
    <w:rsid w:val="00993F40"/>
    <w:rsid w:val="00995777"/>
    <w:rsid w:val="009957B8"/>
    <w:rsid w:val="00996B12"/>
    <w:rsid w:val="009A157F"/>
    <w:rsid w:val="009A16EC"/>
    <w:rsid w:val="009A2368"/>
    <w:rsid w:val="009A2B4C"/>
    <w:rsid w:val="009A4DB2"/>
    <w:rsid w:val="009A7DB4"/>
    <w:rsid w:val="009B070B"/>
    <w:rsid w:val="009B6B62"/>
    <w:rsid w:val="009C158C"/>
    <w:rsid w:val="009C1D67"/>
    <w:rsid w:val="009C2227"/>
    <w:rsid w:val="009C5415"/>
    <w:rsid w:val="009C56F8"/>
    <w:rsid w:val="009D0B49"/>
    <w:rsid w:val="009D313C"/>
    <w:rsid w:val="009D46E1"/>
    <w:rsid w:val="009D4B5A"/>
    <w:rsid w:val="009D50F1"/>
    <w:rsid w:val="009D786C"/>
    <w:rsid w:val="009D790A"/>
    <w:rsid w:val="009E131B"/>
    <w:rsid w:val="009E7B3B"/>
    <w:rsid w:val="009F234A"/>
    <w:rsid w:val="009F64A6"/>
    <w:rsid w:val="009F67DD"/>
    <w:rsid w:val="009F6A7D"/>
    <w:rsid w:val="00A017EC"/>
    <w:rsid w:val="00A06F83"/>
    <w:rsid w:val="00A11CCC"/>
    <w:rsid w:val="00A12661"/>
    <w:rsid w:val="00A12785"/>
    <w:rsid w:val="00A14DE3"/>
    <w:rsid w:val="00A17A6B"/>
    <w:rsid w:val="00A252B1"/>
    <w:rsid w:val="00A26442"/>
    <w:rsid w:val="00A269C6"/>
    <w:rsid w:val="00A27EED"/>
    <w:rsid w:val="00A310F0"/>
    <w:rsid w:val="00A323D3"/>
    <w:rsid w:val="00A33377"/>
    <w:rsid w:val="00A34CBB"/>
    <w:rsid w:val="00A3752C"/>
    <w:rsid w:val="00A37B0D"/>
    <w:rsid w:val="00A40967"/>
    <w:rsid w:val="00A41F10"/>
    <w:rsid w:val="00A42F5F"/>
    <w:rsid w:val="00A4616F"/>
    <w:rsid w:val="00A50F79"/>
    <w:rsid w:val="00A55B23"/>
    <w:rsid w:val="00A57909"/>
    <w:rsid w:val="00A64858"/>
    <w:rsid w:val="00A6525C"/>
    <w:rsid w:val="00A65BE1"/>
    <w:rsid w:val="00A671A2"/>
    <w:rsid w:val="00A73CFC"/>
    <w:rsid w:val="00A85251"/>
    <w:rsid w:val="00A85FC8"/>
    <w:rsid w:val="00A87582"/>
    <w:rsid w:val="00A920C9"/>
    <w:rsid w:val="00A922A0"/>
    <w:rsid w:val="00A94589"/>
    <w:rsid w:val="00AA00A6"/>
    <w:rsid w:val="00AA4894"/>
    <w:rsid w:val="00AA6E0A"/>
    <w:rsid w:val="00AA6EA9"/>
    <w:rsid w:val="00AA7A58"/>
    <w:rsid w:val="00AB0AFD"/>
    <w:rsid w:val="00AB0CA9"/>
    <w:rsid w:val="00AB651B"/>
    <w:rsid w:val="00AB6A89"/>
    <w:rsid w:val="00AB75D4"/>
    <w:rsid w:val="00AC03A6"/>
    <w:rsid w:val="00AC65B0"/>
    <w:rsid w:val="00AC7093"/>
    <w:rsid w:val="00AD47AB"/>
    <w:rsid w:val="00AD4D30"/>
    <w:rsid w:val="00AD549D"/>
    <w:rsid w:val="00AE12AA"/>
    <w:rsid w:val="00AF200A"/>
    <w:rsid w:val="00AF357F"/>
    <w:rsid w:val="00AF51B2"/>
    <w:rsid w:val="00AF6C35"/>
    <w:rsid w:val="00AF7596"/>
    <w:rsid w:val="00AF7D5B"/>
    <w:rsid w:val="00B0272E"/>
    <w:rsid w:val="00B02F8F"/>
    <w:rsid w:val="00B03F19"/>
    <w:rsid w:val="00B04D8E"/>
    <w:rsid w:val="00B06EC0"/>
    <w:rsid w:val="00B11AB6"/>
    <w:rsid w:val="00B12929"/>
    <w:rsid w:val="00B14343"/>
    <w:rsid w:val="00B16133"/>
    <w:rsid w:val="00B1785E"/>
    <w:rsid w:val="00B20CF8"/>
    <w:rsid w:val="00B2349D"/>
    <w:rsid w:val="00B3623B"/>
    <w:rsid w:val="00B416E8"/>
    <w:rsid w:val="00B420C0"/>
    <w:rsid w:val="00B4635F"/>
    <w:rsid w:val="00B4659E"/>
    <w:rsid w:val="00B46655"/>
    <w:rsid w:val="00B4707B"/>
    <w:rsid w:val="00B507ED"/>
    <w:rsid w:val="00B50951"/>
    <w:rsid w:val="00B52190"/>
    <w:rsid w:val="00B60B5E"/>
    <w:rsid w:val="00B61C83"/>
    <w:rsid w:val="00B638DE"/>
    <w:rsid w:val="00B64761"/>
    <w:rsid w:val="00B66DE4"/>
    <w:rsid w:val="00B67313"/>
    <w:rsid w:val="00B71547"/>
    <w:rsid w:val="00B71C85"/>
    <w:rsid w:val="00B72C97"/>
    <w:rsid w:val="00B738EA"/>
    <w:rsid w:val="00B77346"/>
    <w:rsid w:val="00B77547"/>
    <w:rsid w:val="00B77E30"/>
    <w:rsid w:val="00B82AB7"/>
    <w:rsid w:val="00B8587F"/>
    <w:rsid w:val="00B912B9"/>
    <w:rsid w:val="00B955E7"/>
    <w:rsid w:val="00B973A1"/>
    <w:rsid w:val="00BA0704"/>
    <w:rsid w:val="00BB223A"/>
    <w:rsid w:val="00BB2E21"/>
    <w:rsid w:val="00BB3E25"/>
    <w:rsid w:val="00BB42B0"/>
    <w:rsid w:val="00BC267A"/>
    <w:rsid w:val="00BC347E"/>
    <w:rsid w:val="00BC367E"/>
    <w:rsid w:val="00BC530E"/>
    <w:rsid w:val="00BC7353"/>
    <w:rsid w:val="00BE0415"/>
    <w:rsid w:val="00BE0F69"/>
    <w:rsid w:val="00BE2B57"/>
    <w:rsid w:val="00BE2FA7"/>
    <w:rsid w:val="00BE3A9C"/>
    <w:rsid w:val="00BE3F57"/>
    <w:rsid w:val="00BE53A4"/>
    <w:rsid w:val="00BF45F9"/>
    <w:rsid w:val="00BF5F9D"/>
    <w:rsid w:val="00BF7DEF"/>
    <w:rsid w:val="00C00A36"/>
    <w:rsid w:val="00C05999"/>
    <w:rsid w:val="00C10AC0"/>
    <w:rsid w:val="00C114D1"/>
    <w:rsid w:val="00C11FAB"/>
    <w:rsid w:val="00C1390A"/>
    <w:rsid w:val="00C13EAC"/>
    <w:rsid w:val="00C152EF"/>
    <w:rsid w:val="00C21EED"/>
    <w:rsid w:val="00C228E0"/>
    <w:rsid w:val="00C23DB9"/>
    <w:rsid w:val="00C337AF"/>
    <w:rsid w:val="00C33ACC"/>
    <w:rsid w:val="00C35A1B"/>
    <w:rsid w:val="00C368AE"/>
    <w:rsid w:val="00C42988"/>
    <w:rsid w:val="00C44F27"/>
    <w:rsid w:val="00C46A48"/>
    <w:rsid w:val="00C52255"/>
    <w:rsid w:val="00C5455D"/>
    <w:rsid w:val="00C54DBC"/>
    <w:rsid w:val="00C55703"/>
    <w:rsid w:val="00C561F5"/>
    <w:rsid w:val="00C564D6"/>
    <w:rsid w:val="00C56D9C"/>
    <w:rsid w:val="00C61BE1"/>
    <w:rsid w:val="00C631C8"/>
    <w:rsid w:val="00C638ED"/>
    <w:rsid w:val="00C64272"/>
    <w:rsid w:val="00C70D1E"/>
    <w:rsid w:val="00C719CD"/>
    <w:rsid w:val="00C72FB6"/>
    <w:rsid w:val="00C73ACE"/>
    <w:rsid w:val="00C73CD7"/>
    <w:rsid w:val="00C74EE1"/>
    <w:rsid w:val="00C75CF1"/>
    <w:rsid w:val="00C82911"/>
    <w:rsid w:val="00C832D5"/>
    <w:rsid w:val="00C84AB0"/>
    <w:rsid w:val="00C907F7"/>
    <w:rsid w:val="00C95ECD"/>
    <w:rsid w:val="00C97653"/>
    <w:rsid w:val="00CA47A5"/>
    <w:rsid w:val="00CA6983"/>
    <w:rsid w:val="00CA75E2"/>
    <w:rsid w:val="00CB0481"/>
    <w:rsid w:val="00CB23FD"/>
    <w:rsid w:val="00CB3E0E"/>
    <w:rsid w:val="00CB43D3"/>
    <w:rsid w:val="00CB4B27"/>
    <w:rsid w:val="00CB573E"/>
    <w:rsid w:val="00CB6E96"/>
    <w:rsid w:val="00CB74E6"/>
    <w:rsid w:val="00CC0032"/>
    <w:rsid w:val="00CC41EF"/>
    <w:rsid w:val="00CD006C"/>
    <w:rsid w:val="00CD47F8"/>
    <w:rsid w:val="00CD56D0"/>
    <w:rsid w:val="00CE762A"/>
    <w:rsid w:val="00CF39E2"/>
    <w:rsid w:val="00CF68F3"/>
    <w:rsid w:val="00D006D9"/>
    <w:rsid w:val="00D02053"/>
    <w:rsid w:val="00D02DA3"/>
    <w:rsid w:val="00D02F82"/>
    <w:rsid w:val="00D05C69"/>
    <w:rsid w:val="00D1598F"/>
    <w:rsid w:val="00D16F98"/>
    <w:rsid w:val="00D2032B"/>
    <w:rsid w:val="00D214E3"/>
    <w:rsid w:val="00D223ED"/>
    <w:rsid w:val="00D24434"/>
    <w:rsid w:val="00D256AD"/>
    <w:rsid w:val="00D26E37"/>
    <w:rsid w:val="00D31283"/>
    <w:rsid w:val="00D32B91"/>
    <w:rsid w:val="00D32C71"/>
    <w:rsid w:val="00D32D30"/>
    <w:rsid w:val="00D3521D"/>
    <w:rsid w:val="00D36809"/>
    <w:rsid w:val="00D37A59"/>
    <w:rsid w:val="00D41061"/>
    <w:rsid w:val="00D41FD2"/>
    <w:rsid w:val="00D4564A"/>
    <w:rsid w:val="00D46C5B"/>
    <w:rsid w:val="00D51E99"/>
    <w:rsid w:val="00D64A2D"/>
    <w:rsid w:val="00D72A8F"/>
    <w:rsid w:val="00D756CB"/>
    <w:rsid w:val="00D81918"/>
    <w:rsid w:val="00D84BB8"/>
    <w:rsid w:val="00D86583"/>
    <w:rsid w:val="00D96D6F"/>
    <w:rsid w:val="00DA2666"/>
    <w:rsid w:val="00DA2A0C"/>
    <w:rsid w:val="00DA320E"/>
    <w:rsid w:val="00DA4685"/>
    <w:rsid w:val="00DB473A"/>
    <w:rsid w:val="00DB4E05"/>
    <w:rsid w:val="00DC0B9D"/>
    <w:rsid w:val="00DC2408"/>
    <w:rsid w:val="00DC6CAD"/>
    <w:rsid w:val="00DC6CB7"/>
    <w:rsid w:val="00DC75CB"/>
    <w:rsid w:val="00DD4E08"/>
    <w:rsid w:val="00DD5267"/>
    <w:rsid w:val="00DD6A60"/>
    <w:rsid w:val="00DD7660"/>
    <w:rsid w:val="00DE71EE"/>
    <w:rsid w:val="00DF072A"/>
    <w:rsid w:val="00DF0E8F"/>
    <w:rsid w:val="00DF3B6C"/>
    <w:rsid w:val="00DF45FD"/>
    <w:rsid w:val="00DF4F45"/>
    <w:rsid w:val="00DF6355"/>
    <w:rsid w:val="00DF73D9"/>
    <w:rsid w:val="00DF753C"/>
    <w:rsid w:val="00E06C24"/>
    <w:rsid w:val="00E105AC"/>
    <w:rsid w:val="00E12832"/>
    <w:rsid w:val="00E147C2"/>
    <w:rsid w:val="00E2009C"/>
    <w:rsid w:val="00E21FAC"/>
    <w:rsid w:val="00E224DD"/>
    <w:rsid w:val="00E228EC"/>
    <w:rsid w:val="00E24719"/>
    <w:rsid w:val="00E26446"/>
    <w:rsid w:val="00E3389A"/>
    <w:rsid w:val="00E40CD7"/>
    <w:rsid w:val="00E46B4C"/>
    <w:rsid w:val="00E507B1"/>
    <w:rsid w:val="00E554B4"/>
    <w:rsid w:val="00E605F4"/>
    <w:rsid w:val="00E6322C"/>
    <w:rsid w:val="00E64FA8"/>
    <w:rsid w:val="00E67D0A"/>
    <w:rsid w:val="00E67F4B"/>
    <w:rsid w:val="00E7023C"/>
    <w:rsid w:val="00E708C3"/>
    <w:rsid w:val="00E72F83"/>
    <w:rsid w:val="00E7398C"/>
    <w:rsid w:val="00E73D28"/>
    <w:rsid w:val="00E751F9"/>
    <w:rsid w:val="00E76B01"/>
    <w:rsid w:val="00E7705F"/>
    <w:rsid w:val="00E81BD6"/>
    <w:rsid w:val="00E81C2B"/>
    <w:rsid w:val="00E8229D"/>
    <w:rsid w:val="00E840F8"/>
    <w:rsid w:val="00E86C93"/>
    <w:rsid w:val="00E86DA2"/>
    <w:rsid w:val="00E934C6"/>
    <w:rsid w:val="00E936B3"/>
    <w:rsid w:val="00E94231"/>
    <w:rsid w:val="00E95FF1"/>
    <w:rsid w:val="00EA0D46"/>
    <w:rsid w:val="00EA1CF5"/>
    <w:rsid w:val="00EA58F6"/>
    <w:rsid w:val="00EB240F"/>
    <w:rsid w:val="00EB35C4"/>
    <w:rsid w:val="00EB41B3"/>
    <w:rsid w:val="00EB561A"/>
    <w:rsid w:val="00EB7E55"/>
    <w:rsid w:val="00EC29C3"/>
    <w:rsid w:val="00ED05AC"/>
    <w:rsid w:val="00ED24BF"/>
    <w:rsid w:val="00EE0F2F"/>
    <w:rsid w:val="00EE59F8"/>
    <w:rsid w:val="00EE7A79"/>
    <w:rsid w:val="00EF3912"/>
    <w:rsid w:val="00EF3ACC"/>
    <w:rsid w:val="00F016C1"/>
    <w:rsid w:val="00F02318"/>
    <w:rsid w:val="00F028E1"/>
    <w:rsid w:val="00F03628"/>
    <w:rsid w:val="00F07EFD"/>
    <w:rsid w:val="00F10307"/>
    <w:rsid w:val="00F15745"/>
    <w:rsid w:val="00F15D2A"/>
    <w:rsid w:val="00F20D85"/>
    <w:rsid w:val="00F20F9F"/>
    <w:rsid w:val="00F2372A"/>
    <w:rsid w:val="00F302EE"/>
    <w:rsid w:val="00F33240"/>
    <w:rsid w:val="00F33F0F"/>
    <w:rsid w:val="00F46F18"/>
    <w:rsid w:val="00F51989"/>
    <w:rsid w:val="00F525A2"/>
    <w:rsid w:val="00F5647B"/>
    <w:rsid w:val="00F56735"/>
    <w:rsid w:val="00F57351"/>
    <w:rsid w:val="00F603B4"/>
    <w:rsid w:val="00F61065"/>
    <w:rsid w:val="00F62FEE"/>
    <w:rsid w:val="00F64E32"/>
    <w:rsid w:val="00F70E3E"/>
    <w:rsid w:val="00F735FD"/>
    <w:rsid w:val="00F764AD"/>
    <w:rsid w:val="00F77D11"/>
    <w:rsid w:val="00F82620"/>
    <w:rsid w:val="00F83B07"/>
    <w:rsid w:val="00F85C84"/>
    <w:rsid w:val="00F8612C"/>
    <w:rsid w:val="00F86AD4"/>
    <w:rsid w:val="00F86E0C"/>
    <w:rsid w:val="00F871A1"/>
    <w:rsid w:val="00F92E39"/>
    <w:rsid w:val="00F9394B"/>
    <w:rsid w:val="00F96A6D"/>
    <w:rsid w:val="00FA0D63"/>
    <w:rsid w:val="00FA1064"/>
    <w:rsid w:val="00FA23EB"/>
    <w:rsid w:val="00FA3123"/>
    <w:rsid w:val="00FA53BC"/>
    <w:rsid w:val="00FA5ECE"/>
    <w:rsid w:val="00FA5EEF"/>
    <w:rsid w:val="00FA664D"/>
    <w:rsid w:val="00FB0E98"/>
    <w:rsid w:val="00FB1D7F"/>
    <w:rsid w:val="00FC09E2"/>
    <w:rsid w:val="00FC0FD2"/>
    <w:rsid w:val="00FC3834"/>
    <w:rsid w:val="00FC56E5"/>
    <w:rsid w:val="00FD1A51"/>
    <w:rsid w:val="00FD2597"/>
    <w:rsid w:val="00FD5C0F"/>
    <w:rsid w:val="00FD62B1"/>
    <w:rsid w:val="00FD7568"/>
    <w:rsid w:val="00FD7825"/>
    <w:rsid w:val="00FE2B66"/>
    <w:rsid w:val="00FE2B7B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9E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4B36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,Table of contents numbered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Table of contents numbered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174E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2B573A"/>
  </w:style>
  <w:style w:type="paragraph" w:customStyle="1" w:styleId="Normln1">
    <w:name w:val="Normální1"/>
    <w:basedOn w:val="Odsekzoznamu"/>
    <w:link w:val="NormalChar"/>
    <w:qFormat/>
    <w:rsid w:val="001A3BE0"/>
    <w:pPr>
      <w:spacing w:after="80" w:line="19" w:lineRule="atLeast"/>
      <w:contextualSpacing w:val="0"/>
      <w:jc w:val="both"/>
    </w:pPr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Seznam1">
    <w:name w:val="Seznam1"/>
    <w:basedOn w:val="Odsekzoznamu"/>
    <w:link w:val="ListChar"/>
    <w:qFormat/>
    <w:rsid w:val="00180AED"/>
    <w:pPr>
      <w:numPr>
        <w:numId w:val="23"/>
      </w:numPr>
      <w:spacing w:after="80" w:line="19" w:lineRule="atLeast"/>
      <w:contextualSpacing w:val="0"/>
      <w:jc w:val="both"/>
    </w:pPr>
    <w:rPr>
      <w:rFonts w:ascii="Verdana" w:hAnsi="Verdana"/>
      <w:color w:val="404040" w:themeColor="text1" w:themeTint="BF"/>
      <w:sz w:val="20"/>
      <w:lang w:val="sk-SK"/>
    </w:rPr>
  </w:style>
  <w:style w:type="character" w:customStyle="1" w:styleId="NormalChar">
    <w:name w:val="Normal Char"/>
    <w:basedOn w:val="OdsekzoznamuChar"/>
    <w:link w:val="Normln1"/>
    <w:rsid w:val="001A3BE0"/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List2">
    <w:name w:val="List_2"/>
    <w:basedOn w:val="Seznam1"/>
    <w:link w:val="List2Char"/>
    <w:qFormat/>
    <w:rsid w:val="00D26E37"/>
    <w:pPr>
      <w:numPr>
        <w:ilvl w:val="1"/>
      </w:numPr>
      <w:ind w:left="1843" w:hanging="567"/>
    </w:pPr>
  </w:style>
  <w:style w:type="character" w:customStyle="1" w:styleId="ListChar">
    <w:name w:val="List Char"/>
    <w:basedOn w:val="OdsekzoznamuChar"/>
    <w:link w:val="Seznam1"/>
    <w:rsid w:val="00180AED"/>
    <w:rPr>
      <w:rFonts w:ascii="Verdana" w:hAnsi="Verdana"/>
      <w:color w:val="404040" w:themeColor="text1" w:themeTint="BF"/>
      <w:sz w:val="20"/>
      <w:lang w:val="sk-SK"/>
    </w:rPr>
  </w:style>
  <w:style w:type="character" w:customStyle="1" w:styleId="List2Char">
    <w:name w:val="List_2 Char"/>
    <w:basedOn w:val="ListChar"/>
    <w:link w:val="List2"/>
    <w:rsid w:val="00600878"/>
    <w:rPr>
      <w:rFonts w:ascii="Verdana" w:hAnsi="Verdana"/>
      <w:color w:val="404040" w:themeColor="text1" w:themeTint="BF"/>
      <w:sz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uiPriority w:val="99"/>
    <w:semiHidden/>
    <w:rsid w:val="00E24719"/>
    <w:rPr>
      <w:rFonts w:cs="Times New Roman"/>
      <w:vertAlign w:val="superscript"/>
    </w:rPr>
  </w:style>
  <w:style w:type="paragraph" w:customStyle="1" w:styleId="Bullet">
    <w:name w:val="Bullet"/>
    <w:basedOn w:val="Odsekzoznamu"/>
    <w:link w:val="BulletChar"/>
    <w:qFormat/>
    <w:rsid w:val="00E24719"/>
    <w:pPr>
      <w:numPr>
        <w:numId w:val="30"/>
      </w:numPr>
      <w:spacing w:before="60" w:after="120"/>
      <w:contextualSpacing w:val="0"/>
      <w:jc w:val="both"/>
    </w:pPr>
    <w:rPr>
      <w:rFonts w:ascii="Verdana" w:eastAsia="Times New Roman" w:hAnsi="Verdana" w:cs="Times New Roman"/>
      <w:sz w:val="20"/>
      <w:szCs w:val="36"/>
      <w:lang w:val="sk-SK"/>
    </w:rPr>
  </w:style>
  <w:style w:type="character" w:customStyle="1" w:styleId="BulletChar">
    <w:name w:val="Bullet Char"/>
    <w:link w:val="Bullet"/>
    <w:rsid w:val="00E24719"/>
    <w:rPr>
      <w:rFonts w:ascii="Verdana" w:eastAsia="Times New Roman" w:hAnsi="Verdana" w:cs="Times New Roman"/>
      <w:sz w:val="20"/>
      <w:szCs w:val="36"/>
      <w:lang w:val="sk-SK"/>
    </w:rPr>
  </w:style>
  <w:style w:type="paragraph" w:customStyle="1" w:styleId="Bullet2">
    <w:name w:val="Bullet 2"/>
    <w:basedOn w:val="Bullet"/>
    <w:qFormat/>
    <w:rsid w:val="00E24719"/>
    <w:pPr>
      <w:numPr>
        <w:ilvl w:val="1"/>
      </w:numPr>
      <w:tabs>
        <w:tab w:val="num" w:pos="360"/>
      </w:tabs>
      <w:ind w:left="1134" w:hanging="567"/>
    </w:pPr>
  </w:style>
  <w:style w:type="paragraph" w:styleId="Zkladntext0">
    <w:name w:val="Body Text"/>
    <w:basedOn w:val="Normlny"/>
    <w:link w:val="ZkladntextChar"/>
    <w:uiPriority w:val="99"/>
    <w:qFormat/>
    <w:rsid w:val="000E45F4"/>
    <w:pPr>
      <w:spacing w:before="130" w:after="130"/>
      <w:jc w:val="both"/>
    </w:pPr>
    <w:rPr>
      <w:rFonts w:ascii="Times New Roman" w:eastAsia="Times New Roman" w:hAnsi="Times New Roman" w:cs="Times New Roman"/>
      <w:sz w:val="22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0E45F4"/>
    <w:rPr>
      <w:rFonts w:ascii="Times New Roman" w:eastAsia="Times New Roman" w:hAnsi="Times New Roman" w:cs="Times New Roman"/>
      <w:sz w:val="22"/>
      <w:szCs w:val="20"/>
      <w:lang w:val="sk-SK"/>
    </w:rPr>
  </w:style>
  <w:style w:type="character" w:styleId="Siln">
    <w:name w:val="Strong"/>
    <w:basedOn w:val="Predvolenpsmoodseku"/>
    <w:uiPriority w:val="22"/>
    <w:qFormat/>
    <w:rsid w:val="00F56735"/>
    <w:rPr>
      <w:b/>
      <w:bCs/>
    </w:rPr>
  </w:style>
  <w:style w:type="paragraph" w:customStyle="1" w:styleId="Default">
    <w:name w:val="Default"/>
    <w:rsid w:val="002E2D67"/>
    <w:pPr>
      <w:autoSpaceDE w:val="0"/>
      <w:autoSpaceDN w:val="0"/>
      <w:adjustRightInd w:val="0"/>
    </w:pPr>
    <w:rPr>
      <w:rFonts w:ascii="Cambria" w:eastAsia="MS Mincho" w:hAnsi="Cambria" w:cs="Cambria"/>
      <w:color w:val="00000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4B363B"/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4B36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,Table of contents numbered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Table of contents numbered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174E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2B573A"/>
  </w:style>
  <w:style w:type="paragraph" w:customStyle="1" w:styleId="Normln1">
    <w:name w:val="Normální1"/>
    <w:basedOn w:val="Odsekzoznamu"/>
    <w:link w:val="NormalChar"/>
    <w:qFormat/>
    <w:rsid w:val="001A3BE0"/>
    <w:pPr>
      <w:spacing w:after="80" w:line="19" w:lineRule="atLeast"/>
      <w:contextualSpacing w:val="0"/>
      <w:jc w:val="both"/>
    </w:pPr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Seznam1">
    <w:name w:val="Seznam1"/>
    <w:basedOn w:val="Odsekzoznamu"/>
    <w:link w:val="ListChar"/>
    <w:qFormat/>
    <w:rsid w:val="00180AED"/>
    <w:pPr>
      <w:numPr>
        <w:numId w:val="23"/>
      </w:numPr>
      <w:spacing w:after="80" w:line="19" w:lineRule="atLeast"/>
      <w:contextualSpacing w:val="0"/>
      <w:jc w:val="both"/>
    </w:pPr>
    <w:rPr>
      <w:rFonts w:ascii="Verdana" w:hAnsi="Verdana"/>
      <w:color w:val="404040" w:themeColor="text1" w:themeTint="BF"/>
      <w:sz w:val="20"/>
      <w:lang w:val="sk-SK"/>
    </w:rPr>
  </w:style>
  <w:style w:type="character" w:customStyle="1" w:styleId="NormalChar">
    <w:name w:val="Normal Char"/>
    <w:basedOn w:val="OdsekzoznamuChar"/>
    <w:link w:val="Normln1"/>
    <w:rsid w:val="001A3BE0"/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List2">
    <w:name w:val="List_2"/>
    <w:basedOn w:val="Seznam1"/>
    <w:link w:val="List2Char"/>
    <w:qFormat/>
    <w:rsid w:val="00D26E37"/>
    <w:pPr>
      <w:numPr>
        <w:ilvl w:val="1"/>
      </w:numPr>
      <w:ind w:left="1843" w:hanging="567"/>
    </w:pPr>
  </w:style>
  <w:style w:type="character" w:customStyle="1" w:styleId="ListChar">
    <w:name w:val="List Char"/>
    <w:basedOn w:val="OdsekzoznamuChar"/>
    <w:link w:val="Seznam1"/>
    <w:rsid w:val="00180AED"/>
    <w:rPr>
      <w:rFonts w:ascii="Verdana" w:hAnsi="Verdana"/>
      <w:color w:val="404040" w:themeColor="text1" w:themeTint="BF"/>
      <w:sz w:val="20"/>
      <w:lang w:val="sk-SK"/>
    </w:rPr>
  </w:style>
  <w:style w:type="character" w:customStyle="1" w:styleId="List2Char">
    <w:name w:val="List_2 Char"/>
    <w:basedOn w:val="ListChar"/>
    <w:link w:val="List2"/>
    <w:rsid w:val="00600878"/>
    <w:rPr>
      <w:rFonts w:ascii="Verdana" w:hAnsi="Verdana"/>
      <w:color w:val="404040" w:themeColor="text1" w:themeTint="BF"/>
      <w:sz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uiPriority w:val="99"/>
    <w:semiHidden/>
    <w:rsid w:val="00E24719"/>
    <w:rPr>
      <w:rFonts w:cs="Times New Roman"/>
      <w:vertAlign w:val="superscript"/>
    </w:rPr>
  </w:style>
  <w:style w:type="paragraph" w:customStyle="1" w:styleId="Bullet">
    <w:name w:val="Bullet"/>
    <w:basedOn w:val="Odsekzoznamu"/>
    <w:link w:val="BulletChar"/>
    <w:qFormat/>
    <w:rsid w:val="00E24719"/>
    <w:pPr>
      <w:numPr>
        <w:numId w:val="30"/>
      </w:numPr>
      <w:spacing w:before="60" w:after="120"/>
      <w:contextualSpacing w:val="0"/>
      <w:jc w:val="both"/>
    </w:pPr>
    <w:rPr>
      <w:rFonts w:ascii="Verdana" w:eastAsia="Times New Roman" w:hAnsi="Verdana" w:cs="Times New Roman"/>
      <w:sz w:val="20"/>
      <w:szCs w:val="36"/>
      <w:lang w:val="sk-SK"/>
    </w:rPr>
  </w:style>
  <w:style w:type="character" w:customStyle="1" w:styleId="BulletChar">
    <w:name w:val="Bullet Char"/>
    <w:link w:val="Bullet"/>
    <w:rsid w:val="00E24719"/>
    <w:rPr>
      <w:rFonts w:ascii="Verdana" w:eastAsia="Times New Roman" w:hAnsi="Verdana" w:cs="Times New Roman"/>
      <w:sz w:val="20"/>
      <w:szCs w:val="36"/>
      <w:lang w:val="sk-SK"/>
    </w:rPr>
  </w:style>
  <w:style w:type="paragraph" w:customStyle="1" w:styleId="Bullet2">
    <w:name w:val="Bullet 2"/>
    <w:basedOn w:val="Bullet"/>
    <w:qFormat/>
    <w:rsid w:val="00E24719"/>
    <w:pPr>
      <w:numPr>
        <w:ilvl w:val="1"/>
      </w:numPr>
      <w:tabs>
        <w:tab w:val="num" w:pos="360"/>
      </w:tabs>
      <w:ind w:left="1134" w:hanging="567"/>
    </w:pPr>
  </w:style>
  <w:style w:type="paragraph" w:styleId="Zkladntext0">
    <w:name w:val="Body Text"/>
    <w:basedOn w:val="Normlny"/>
    <w:link w:val="ZkladntextChar"/>
    <w:uiPriority w:val="99"/>
    <w:qFormat/>
    <w:rsid w:val="000E45F4"/>
    <w:pPr>
      <w:spacing w:before="130" w:after="130"/>
      <w:jc w:val="both"/>
    </w:pPr>
    <w:rPr>
      <w:rFonts w:ascii="Times New Roman" w:eastAsia="Times New Roman" w:hAnsi="Times New Roman" w:cs="Times New Roman"/>
      <w:sz w:val="22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0E45F4"/>
    <w:rPr>
      <w:rFonts w:ascii="Times New Roman" w:eastAsia="Times New Roman" w:hAnsi="Times New Roman" w:cs="Times New Roman"/>
      <w:sz w:val="22"/>
      <w:szCs w:val="20"/>
      <w:lang w:val="sk-SK"/>
    </w:rPr>
  </w:style>
  <w:style w:type="character" w:styleId="Siln">
    <w:name w:val="Strong"/>
    <w:basedOn w:val="Predvolenpsmoodseku"/>
    <w:uiPriority w:val="22"/>
    <w:qFormat/>
    <w:rsid w:val="00F56735"/>
    <w:rPr>
      <w:b/>
      <w:bCs/>
    </w:rPr>
  </w:style>
  <w:style w:type="paragraph" w:customStyle="1" w:styleId="Default">
    <w:name w:val="Default"/>
    <w:rsid w:val="002E2D67"/>
    <w:pPr>
      <w:autoSpaceDE w:val="0"/>
      <w:autoSpaceDN w:val="0"/>
      <w:adjustRightInd w:val="0"/>
    </w:pPr>
    <w:rPr>
      <w:rFonts w:ascii="Cambria" w:eastAsia="MS Mincho" w:hAnsi="Cambria" w:cs="Cambria"/>
      <w:color w:val="00000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4B363B"/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lada.gov.sk/data/files/6951_narodna_strategia_.pdf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vania.sk/Rokovanie.aspx/BodRokovaniaDetail?idMaterial=26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B8DE-2449-405E-ACD5-B9DFAFF4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81303-A934-4483-AF68-A4C7CB16E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B784A3-678F-4763-8BFE-3D1E683FB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BD50EB-F4CE-4C22-B5DA-62CDA41A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5249</Words>
  <Characters>29923</Characters>
  <Application>Microsoft Office Word</Application>
  <DocSecurity>0</DocSecurity>
  <Lines>249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Baron</dc:creator>
  <cp:lastModifiedBy>Anna Baron</cp:lastModifiedBy>
  <cp:revision>2</cp:revision>
  <cp:lastPrinted>2015-02-23T15:40:00Z</cp:lastPrinted>
  <dcterms:created xsi:type="dcterms:W3CDTF">2022-02-21T14:59:00Z</dcterms:created>
  <dcterms:modified xsi:type="dcterms:W3CDTF">2022-02-21T14:59:00Z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