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AEBEF" w14:textId="597732B9" w:rsidR="0080156B" w:rsidRDefault="00F431AC" w:rsidP="00F431AC">
      <w:pPr>
        <w:tabs>
          <w:tab w:val="left" w:pos="1014"/>
        </w:tabs>
        <w:spacing w:line="288" w:lineRule="auto"/>
        <w:contextualSpacing/>
        <w:jc w:val="right"/>
        <w:rPr>
          <w:rFonts w:ascii="Times New Roman" w:hAnsi="Times New Roman"/>
          <w:i/>
          <w:sz w:val="20"/>
          <w:szCs w:val="20"/>
        </w:rPr>
      </w:pPr>
      <w:proofErr w:type="spellStart"/>
      <w:r w:rsidRPr="00E7454A">
        <w:rPr>
          <w:rFonts w:ascii="Times New Roman" w:hAnsi="Times New Roman"/>
          <w:i/>
          <w:sz w:val="20"/>
          <w:szCs w:val="20"/>
        </w:rPr>
        <w:t>Príloha</w:t>
      </w:r>
      <w:proofErr w:type="spellEnd"/>
      <w:r w:rsidRPr="00E7454A">
        <w:rPr>
          <w:rFonts w:ascii="Times New Roman" w:hAnsi="Times New Roman"/>
          <w:i/>
          <w:sz w:val="20"/>
          <w:szCs w:val="20"/>
        </w:rPr>
        <w:t xml:space="preserve"> č. </w:t>
      </w:r>
      <w:r w:rsidR="0016633D">
        <w:rPr>
          <w:rFonts w:ascii="Times New Roman" w:hAnsi="Times New Roman"/>
          <w:i/>
          <w:sz w:val="20"/>
          <w:szCs w:val="20"/>
        </w:rPr>
        <w:t>45</w:t>
      </w:r>
    </w:p>
    <w:p w14:paraId="064F532C" w14:textId="77777777" w:rsidR="0016633D" w:rsidRPr="0016633D" w:rsidRDefault="0016633D" w:rsidP="0016633D">
      <w:pPr>
        <w:keepNext/>
        <w:keepLines/>
        <w:spacing w:before="240" w:after="120" w:line="276" w:lineRule="auto"/>
        <w:jc w:val="both"/>
        <w:outlineLvl w:val="1"/>
        <w:rPr>
          <w:rFonts w:ascii="Times New Roman" w:hAnsi="Times New Roman"/>
          <w:b/>
          <w:bCs/>
          <w:sz w:val="26"/>
          <w:szCs w:val="26"/>
          <w:lang w:val="x-none" w:eastAsia="x-none"/>
        </w:rPr>
      </w:pPr>
      <w:r w:rsidRPr="0016633D">
        <w:rPr>
          <w:rFonts w:ascii="Times New Roman" w:hAnsi="Times New Roman"/>
          <w:b/>
          <w:bCs/>
          <w:sz w:val="26"/>
          <w:szCs w:val="26"/>
          <w:lang w:val="x-none" w:eastAsia="x-none"/>
        </w:rPr>
        <w:t>Finančné opravy za porušenie pravidiel a postupov VO a obstarávania (Príloha č. 1 Metodického pokynu CKO č. 5)</w:t>
      </w:r>
    </w:p>
    <w:p w14:paraId="2C366DB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príloha č. 1 sa primerane použije aj pre postup určovania finančných opráv pre zákazky vyhlásené podľa zákona č. 25/2006 Z. z. o verejnom obstarávaní                          a o zmene a doplnení niektorých zákonov v znení neskorších predpisov (ďalej len „zákon o VO“) a zákazky, na ktoré sa nevzťahuje pôsobnosť ZVO/zákona o VO</w:t>
      </w:r>
    </w:p>
    <w:p w14:paraId="3F1CD2B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4FCB7A69" w14:textId="77777777" w:rsidR="0016633D" w:rsidRPr="0016633D" w:rsidRDefault="0016633D" w:rsidP="0016633D">
      <w:pPr>
        <w:spacing w:after="200" w:line="276" w:lineRule="auto"/>
        <w:jc w:val="both"/>
        <w:rPr>
          <w:rFonts w:ascii="Times New Roman" w:eastAsia="Calibri" w:hAnsi="Times New Roman"/>
          <w:b/>
          <w:sz w:val="22"/>
          <w:szCs w:val="22"/>
          <w:lang w:val="sk-SK" w:eastAsia="cs-CZ"/>
        </w:rPr>
      </w:pPr>
      <w:r w:rsidRPr="0016633D">
        <w:rPr>
          <w:rFonts w:ascii="Times New Roman" w:eastAsia="Calibri" w:hAnsi="Times New Roman"/>
          <w:sz w:val="22"/>
          <w:szCs w:val="22"/>
          <w:lang w:val="sk-SK" w:eastAsia="cs-CZ"/>
        </w:rPr>
        <w:t xml:space="preserve">Určovanie výšky vrátenia poskytnutého príspevku alebo jeho časti v nadväznosti na zistené porušenie pravidiel a postupov verejného obstarávania v zmysle ZVO. </w:t>
      </w:r>
      <w:r w:rsidRPr="0016633D">
        <w:rPr>
          <w:rFonts w:ascii="Times New Roman" w:eastAsia="Calibri" w:hAnsi="Times New Roman"/>
          <w:b/>
          <w:sz w:val="22"/>
          <w:szCs w:val="22"/>
          <w:lang w:val="sk-SK" w:eastAsia="cs-CZ"/>
        </w:rPr>
        <w:t xml:space="preserve">Všetky percentuálne sadzby sa týkajú prípadov, keď konkrétne porušenie malo alebo mohlo mať vplyv na výsledok verejného obstarávania/obstarávania. </w:t>
      </w:r>
    </w:p>
    <w:p w14:paraId="4C23EB21" w14:textId="77777777" w:rsidR="0016633D" w:rsidRPr="0016633D" w:rsidRDefault="0016633D" w:rsidP="0016633D">
      <w:pPr>
        <w:spacing w:after="200" w:line="276" w:lineRule="auto"/>
        <w:rPr>
          <w:rFonts w:ascii="Times New Roman" w:eastAsia="Calibri" w:hAnsi="Times New Roman"/>
          <w:sz w:val="22"/>
          <w:szCs w:val="22"/>
          <w:lang w:val="sk-SK" w:eastAsia="cs-CZ"/>
        </w:rPr>
      </w:pPr>
    </w:p>
    <w:p w14:paraId="19003ACA" w14:textId="77777777" w:rsidR="0016633D" w:rsidRPr="0016633D" w:rsidRDefault="0016633D" w:rsidP="0016633D">
      <w:pPr>
        <w:spacing w:after="200" w:line="276" w:lineRule="auto"/>
        <w:rPr>
          <w:rFonts w:ascii="Times New Roman" w:eastAsia="Calibri" w:hAnsi="Times New Roman"/>
          <w:sz w:val="22"/>
          <w:szCs w:val="22"/>
          <w:lang w:val="sk-SK"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16633D" w:rsidRPr="0016633D" w14:paraId="4F27D64A" w14:textId="77777777" w:rsidTr="00983D96">
        <w:tc>
          <w:tcPr>
            <w:tcW w:w="675" w:type="dxa"/>
            <w:tcBorders>
              <w:bottom w:val="single" w:sz="4" w:space="0" w:color="auto"/>
            </w:tcBorders>
            <w:shd w:val="clear" w:color="auto" w:fill="9CC2E5"/>
            <w:vAlign w:val="center"/>
          </w:tcPr>
          <w:p w14:paraId="38DC1D24" w14:textId="77777777" w:rsidR="0016633D" w:rsidRPr="0016633D" w:rsidRDefault="0016633D" w:rsidP="0016633D">
            <w:pPr>
              <w:spacing w:after="200" w:line="276" w:lineRule="auto"/>
              <w:jc w:val="center"/>
              <w:rPr>
                <w:rFonts w:ascii="Times New Roman" w:eastAsia="Calibri" w:hAnsi="Times New Roman"/>
                <w:b/>
                <w:sz w:val="22"/>
                <w:szCs w:val="22"/>
                <w:lang w:val="sk-SK" w:eastAsia="cs-CZ"/>
              </w:rPr>
            </w:pPr>
            <w:r w:rsidRPr="0016633D">
              <w:rPr>
                <w:rFonts w:ascii="Times New Roman" w:eastAsia="Calibri" w:hAnsi="Times New Roman"/>
                <w:b/>
                <w:sz w:val="22"/>
                <w:szCs w:val="22"/>
                <w:lang w:val="sk-SK" w:eastAsia="cs-CZ"/>
              </w:rPr>
              <w:t>Č.</w:t>
            </w:r>
          </w:p>
        </w:tc>
        <w:tc>
          <w:tcPr>
            <w:tcW w:w="3720" w:type="dxa"/>
            <w:tcBorders>
              <w:bottom w:val="single" w:sz="4" w:space="0" w:color="auto"/>
            </w:tcBorders>
            <w:shd w:val="clear" w:color="auto" w:fill="9CC2E5"/>
            <w:vAlign w:val="center"/>
          </w:tcPr>
          <w:p w14:paraId="6F56CC09" w14:textId="77777777" w:rsidR="0016633D" w:rsidRPr="0016633D" w:rsidRDefault="0016633D" w:rsidP="0016633D">
            <w:pPr>
              <w:spacing w:after="200" w:line="276" w:lineRule="auto"/>
              <w:jc w:val="center"/>
              <w:rPr>
                <w:rFonts w:ascii="Times New Roman" w:eastAsia="Calibri" w:hAnsi="Times New Roman"/>
                <w:b/>
                <w:sz w:val="22"/>
                <w:szCs w:val="22"/>
                <w:lang w:val="sk-SK" w:eastAsia="cs-CZ"/>
              </w:rPr>
            </w:pPr>
            <w:r w:rsidRPr="0016633D">
              <w:rPr>
                <w:rFonts w:ascii="Times New Roman" w:eastAsia="Calibri" w:hAnsi="Times New Roman"/>
                <w:b/>
                <w:sz w:val="22"/>
                <w:szCs w:val="22"/>
                <w:lang w:val="sk-SK" w:eastAsia="cs-CZ"/>
              </w:rPr>
              <w:t>Názov porušenia</w:t>
            </w:r>
          </w:p>
        </w:tc>
        <w:tc>
          <w:tcPr>
            <w:tcW w:w="7087" w:type="dxa"/>
            <w:tcBorders>
              <w:bottom w:val="single" w:sz="4" w:space="0" w:color="auto"/>
            </w:tcBorders>
            <w:shd w:val="clear" w:color="auto" w:fill="9CC2E5"/>
            <w:vAlign w:val="center"/>
          </w:tcPr>
          <w:p w14:paraId="6FDE6CED" w14:textId="77777777" w:rsidR="0016633D" w:rsidRPr="0016633D" w:rsidRDefault="0016633D" w:rsidP="0016633D">
            <w:pPr>
              <w:spacing w:after="200" w:line="276" w:lineRule="auto"/>
              <w:jc w:val="center"/>
              <w:rPr>
                <w:rFonts w:ascii="Times New Roman" w:eastAsia="Calibri" w:hAnsi="Times New Roman"/>
                <w:b/>
                <w:sz w:val="22"/>
                <w:szCs w:val="22"/>
                <w:lang w:val="sk-SK" w:eastAsia="cs-CZ"/>
              </w:rPr>
            </w:pPr>
            <w:r w:rsidRPr="0016633D">
              <w:rPr>
                <w:rFonts w:ascii="Times New Roman" w:eastAsia="Calibri" w:hAnsi="Times New Roman"/>
                <w:b/>
                <w:sz w:val="22"/>
                <w:szCs w:val="22"/>
                <w:lang w:val="sk-SK" w:eastAsia="cs-CZ"/>
              </w:rPr>
              <w:t>Popis porušenia/ príklady</w:t>
            </w:r>
          </w:p>
        </w:tc>
        <w:tc>
          <w:tcPr>
            <w:tcW w:w="2552" w:type="dxa"/>
            <w:tcBorders>
              <w:bottom w:val="single" w:sz="4" w:space="0" w:color="auto"/>
            </w:tcBorders>
            <w:shd w:val="clear" w:color="auto" w:fill="9CC2E5"/>
            <w:vAlign w:val="center"/>
          </w:tcPr>
          <w:p w14:paraId="4305C372" w14:textId="77777777" w:rsidR="0016633D" w:rsidRPr="0016633D" w:rsidRDefault="0016633D" w:rsidP="0016633D">
            <w:pPr>
              <w:spacing w:after="200" w:line="276" w:lineRule="auto"/>
              <w:jc w:val="center"/>
              <w:rPr>
                <w:rFonts w:ascii="Times New Roman" w:eastAsia="Calibri" w:hAnsi="Times New Roman"/>
                <w:b/>
                <w:sz w:val="22"/>
                <w:szCs w:val="22"/>
                <w:lang w:val="sk-SK" w:eastAsia="cs-CZ"/>
              </w:rPr>
            </w:pPr>
            <w:r w:rsidRPr="0016633D">
              <w:rPr>
                <w:rFonts w:ascii="Times New Roman" w:eastAsia="Calibri" w:hAnsi="Times New Roman"/>
                <w:b/>
                <w:sz w:val="22"/>
                <w:szCs w:val="22"/>
                <w:lang w:val="sk-SK" w:eastAsia="cs-CZ"/>
              </w:rPr>
              <w:t xml:space="preserve">Výška finančnej opravy </w:t>
            </w:r>
          </w:p>
        </w:tc>
      </w:tr>
      <w:tr w:rsidR="0016633D" w:rsidRPr="0016633D" w14:paraId="37C8B783" w14:textId="77777777" w:rsidTr="00983D96">
        <w:tc>
          <w:tcPr>
            <w:tcW w:w="14034" w:type="dxa"/>
            <w:gridSpan w:val="4"/>
            <w:shd w:val="clear" w:color="auto" w:fill="BFBFBF"/>
            <w:vAlign w:val="center"/>
          </w:tcPr>
          <w:p w14:paraId="4654A19C" w14:textId="77777777" w:rsidR="0016633D" w:rsidRPr="0016633D" w:rsidRDefault="0016633D" w:rsidP="0016633D">
            <w:pPr>
              <w:spacing w:after="200" w:line="276" w:lineRule="auto"/>
              <w:jc w:val="center"/>
              <w:rPr>
                <w:rFonts w:ascii="Times New Roman" w:eastAsia="Calibri" w:hAnsi="Times New Roman"/>
                <w:b/>
                <w:sz w:val="22"/>
                <w:szCs w:val="22"/>
                <w:lang w:val="sk-SK" w:eastAsia="cs-CZ"/>
              </w:rPr>
            </w:pPr>
            <w:r w:rsidRPr="0016633D">
              <w:rPr>
                <w:rFonts w:ascii="Times New Roman" w:eastAsia="Calibri" w:hAnsi="Times New Roman"/>
                <w:b/>
                <w:sz w:val="22"/>
                <w:szCs w:val="22"/>
                <w:lang w:val="sk-SK" w:eastAsia="cs-CZ"/>
              </w:rPr>
              <w:t>Vyhlásenie verejného obstarávania, špecifikácia v súťažných podkladoch</w:t>
            </w:r>
          </w:p>
        </w:tc>
      </w:tr>
      <w:tr w:rsidR="0016633D" w:rsidRPr="0016633D" w14:paraId="3939FE19" w14:textId="77777777" w:rsidTr="00983D96">
        <w:trPr>
          <w:trHeight w:val="301"/>
        </w:trPr>
        <w:tc>
          <w:tcPr>
            <w:tcW w:w="675" w:type="dxa"/>
            <w:vMerge w:val="restart"/>
            <w:shd w:val="clear" w:color="auto" w:fill="auto"/>
            <w:vAlign w:val="center"/>
          </w:tcPr>
          <w:p w14:paraId="2A34EE43"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w:t>
            </w:r>
          </w:p>
        </w:tc>
        <w:tc>
          <w:tcPr>
            <w:tcW w:w="3720" w:type="dxa"/>
            <w:vMerge w:val="restart"/>
            <w:shd w:val="clear" w:color="auto" w:fill="auto"/>
          </w:tcPr>
          <w:p w14:paraId="4BA559B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Nedodržanie postupov zverejňovania zákazky alebo neoprávnené použitie priameho rokovacieho konania</w:t>
            </w:r>
          </w:p>
          <w:p w14:paraId="2170292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66E7D5A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Verejný obstarávateľ</w:t>
            </w:r>
            <w:r w:rsidRPr="0016633D">
              <w:rPr>
                <w:rFonts w:ascii="Times New Roman" w:eastAsia="Calibri" w:hAnsi="Times New Roman"/>
                <w:sz w:val="22"/>
                <w:szCs w:val="22"/>
                <w:vertAlign w:val="superscript"/>
                <w:lang w:val="sk-SK" w:eastAsia="cs-CZ"/>
              </w:rPr>
              <w:footnoteReference w:id="2"/>
            </w:r>
            <w:r w:rsidRPr="0016633D">
              <w:rPr>
                <w:rFonts w:ascii="Times New Roman" w:eastAsia="Calibri" w:hAnsi="Times New Roman"/>
                <w:sz w:val="22"/>
                <w:szCs w:val="22"/>
                <w:lang w:val="sk-SK" w:eastAsia="cs-CZ"/>
              </w:rPr>
              <w:t xml:space="preserve"> neposlal oznámenie o vyhlásení verejného obstarávania publikačnému úradu a ÚVO podľa § 27 ZVO za účelom jeho zverejnenia v európskom vestníku a vestníku ÚVO. </w:t>
            </w:r>
          </w:p>
          <w:p w14:paraId="66FC0D4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6E96640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Verejný obstarávateľ neposlal výzvu na predkladanie ponúk na zverejnenie </w:t>
            </w:r>
            <w:r w:rsidRPr="0016633D">
              <w:rPr>
                <w:rFonts w:ascii="Times New Roman" w:eastAsia="Calibri" w:hAnsi="Times New Roman"/>
                <w:sz w:val="22"/>
                <w:szCs w:val="22"/>
                <w:lang w:val="sk-SK" w:eastAsia="cs-CZ"/>
              </w:rPr>
              <w:lastRenderedPageBreak/>
              <w:t>do vestníka ÚVO v prípade podlimitnej zákazky bez využitia elektronického trhoviska.</w:t>
            </w:r>
          </w:p>
          <w:p w14:paraId="1A88A82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07A7B5D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ZVO v zmysle § 1 ods. 2 až 14 ZVO, uzavretie zmluvy priamym rokovacím konaním podľa § 81 ZVO bez splnenia podmienok na jeho použitie</w:t>
            </w:r>
            <w:r w:rsidRPr="0016633D">
              <w:rPr>
                <w:rFonts w:ascii="Times New Roman" w:eastAsia="Calibri" w:hAnsi="Times New Roman"/>
                <w:sz w:val="22"/>
                <w:szCs w:val="22"/>
                <w:lang w:val="sk-SK"/>
              </w:rPr>
              <w:t xml:space="preserve">, </w:t>
            </w:r>
            <w:r w:rsidRPr="0016633D">
              <w:rPr>
                <w:rFonts w:ascii="Times New Roman" w:eastAsia="Calibri" w:hAnsi="Times New Roman"/>
                <w:sz w:val="22"/>
                <w:szCs w:val="22"/>
                <w:lang w:val="sk-SK" w:eastAsia="cs-CZ"/>
              </w:rPr>
              <w:t>nesprávne zaradenie zákazky do prílohy č. 1 k ZVO a uplatnenie postupu zadávania zákazky s nízkou hodnotou, pričom mal byť použitý postup pre nadlimitnú alebo podlimitnú zákazku a zároveň zákazka nebola zverejnená na webovom sídle prijímateľa a informácia o zverejnení nebola zaslaná na mailový kontakt zakazkycko@vlada.gov.sk</w:t>
            </w:r>
          </w:p>
          <w:p w14:paraId="47F6B7A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5EEFE89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Pre uplatnenie finančnej opravy vo výške 100 % je potrebné splniť podmienku, že zákazka nebola vôbec zverejnená podľa pravidiel určených ZVO.</w:t>
            </w:r>
          </w:p>
        </w:tc>
        <w:tc>
          <w:tcPr>
            <w:tcW w:w="2552" w:type="dxa"/>
            <w:shd w:val="clear" w:color="auto" w:fill="auto"/>
          </w:tcPr>
          <w:p w14:paraId="34B9E24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 xml:space="preserve">100% </w:t>
            </w:r>
          </w:p>
          <w:p w14:paraId="5A2ADBAA"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5B527DF4" w14:textId="77777777" w:rsidTr="00983D96">
        <w:trPr>
          <w:trHeight w:val="2528"/>
        </w:trPr>
        <w:tc>
          <w:tcPr>
            <w:tcW w:w="675" w:type="dxa"/>
            <w:vMerge/>
            <w:shd w:val="clear" w:color="auto" w:fill="auto"/>
            <w:vAlign w:val="center"/>
          </w:tcPr>
          <w:p w14:paraId="00D5C9CC"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24AB39E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57D82B0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Verejný obstarávateľ vyhlásil nadlimitnú zákazku, pričom oznámenie o vyhlásení verejného obstarávania nebolo zverejnené v európskom vestníku, ale zadávanie zákazky bolo korektne zverejnené vo vestníku ÚVO (verejný obstarávateľ nesprávne použil podlimitný formulár). </w:t>
            </w:r>
          </w:p>
          <w:p w14:paraId="1AF6A88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03AC3F6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Zákazka na poskytnutie služby bola nesprávne zaradená do prílohy č. 1 k ZVO a mal byť použitý postup pre nadlimitnú alebo podlimitnú zákazku, ale verejné obstarávanie bolo vyhlásené postupom zadávania zákazky s nízkou hodnotou a  korektne zverejnené na webovom sídle prijímateľa a informácia o zverejnení zaslaná na mailový kontakt </w:t>
            </w:r>
            <w:hyperlink r:id="rId11" w:history="1">
              <w:r w:rsidRPr="0016633D">
                <w:rPr>
                  <w:rFonts w:ascii="Times New Roman" w:eastAsia="Calibri" w:hAnsi="Times New Roman"/>
                  <w:color w:val="0000FF"/>
                  <w:sz w:val="22"/>
                  <w:szCs w:val="22"/>
                  <w:u w:val="single"/>
                  <w:lang w:val="sk-SK" w:eastAsia="cs-CZ"/>
                </w:rPr>
                <w:t>zakazkycko</w:t>
              </w:r>
              <w:r w:rsidRPr="0016633D">
                <w:rPr>
                  <w:rFonts w:ascii="Times New Roman" w:eastAsia="Calibri" w:hAnsi="Times New Roman"/>
                  <w:color w:val="0000FF"/>
                  <w:sz w:val="22"/>
                  <w:szCs w:val="22"/>
                  <w:u w:val="single"/>
                  <w:lang w:eastAsia="cs-CZ"/>
                </w:rPr>
                <w:t>@</w:t>
              </w:r>
              <w:r w:rsidRPr="0016633D">
                <w:rPr>
                  <w:rFonts w:ascii="Times New Roman" w:eastAsia="Calibri" w:hAnsi="Times New Roman"/>
                  <w:color w:val="0000FF"/>
                  <w:sz w:val="22"/>
                  <w:szCs w:val="22"/>
                  <w:u w:val="single"/>
                  <w:lang w:val="sk-SK" w:eastAsia="cs-CZ"/>
                </w:rPr>
                <w:t>vlada.gov.sk</w:t>
              </w:r>
            </w:hyperlink>
            <w:r w:rsidRPr="0016633D">
              <w:rPr>
                <w:rFonts w:ascii="Times New Roman" w:eastAsia="Calibri" w:hAnsi="Times New Roman"/>
                <w:sz w:val="22"/>
                <w:szCs w:val="22"/>
                <w:lang w:val="sk-SK" w:eastAsia="cs-CZ"/>
              </w:rPr>
              <w:t xml:space="preserve"> </w:t>
            </w:r>
          </w:p>
          <w:p w14:paraId="020A002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54B4C3EA"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Prijímateľ vyhlásil zákazku s nízkou hodnotou alebo zákazka bola vyhlásená osobou,</w:t>
            </w:r>
            <w:r w:rsidRPr="0016633D">
              <w:rPr>
                <w:rFonts w:ascii="Times New Roman" w:eastAsia="Calibri" w:hAnsi="Times New Roman"/>
                <w:sz w:val="22"/>
                <w:szCs w:val="22"/>
                <w:lang w:val="sk-SK"/>
              </w:rPr>
              <w:t xml:space="preserve"> </w:t>
            </w:r>
            <w:r w:rsidRPr="0016633D">
              <w:rPr>
                <w:rFonts w:ascii="Times New Roman" w:eastAsia="Calibri" w:hAnsi="Times New Roman"/>
                <w:sz w:val="22"/>
                <w:szCs w:val="22"/>
                <w:lang w:val="sk-SK" w:eastAsia="cs-CZ"/>
              </w:rPr>
              <w:t>ktorej verejný obstarávateľ poskytne 50% a menej finančných prostriedkov na dodanie tovaru, uskutočnenie stavebných prác a poskytnutie služieb z nenávratného finančného príspevku (a nebolo preukázané vyhnutie sa použitiu pravidiel a postupov podľa ZVO), ale prijímateľ nezverejnil zákazku na webovom sídle ani neoslovil s výzvou na predkladanie ponúk alebo neidentifikoval (napr. cez webové rozhranie) min. troch vybraných záujemcov.</w:t>
            </w:r>
          </w:p>
        </w:tc>
        <w:tc>
          <w:tcPr>
            <w:tcW w:w="2552" w:type="dxa"/>
            <w:shd w:val="clear" w:color="auto" w:fill="auto"/>
          </w:tcPr>
          <w:p w14:paraId="35CCC97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25% </w:t>
            </w:r>
          </w:p>
          <w:p w14:paraId="0C5ABD52"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101D9E67"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 </w:t>
            </w:r>
          </w:p>
        </w:tc>
      </w:tr>
      <w:tr w:rsidR="0016633D" w:rsidRPr="0016633D" w14:paraId="2083747F" w14:textId="77777777" w:rsidTr="00983D96">
        <w:trPr>
          <w:trHeight w:val="456"/>
        </w:trPr>
        <w:tc>
          <w:tcPr>
            <w:tcW w:w="675" w:type="dxa"/>
            <w:vMerge/>
            <w:shd w:val="clear" w:color="auto" w:fill="auto"/>
            <w:vAlign w:val="center"/>
          </w:tcPr>
          <w:p w14:paraId="06B6DDC0"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3065B5A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48F6127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Zákazka s nízkou hodnotou bola zverejnená na webovom sídle prijímateľa, ale prijímateľ si nesplnil povinnosť zaslať informáciu o tomto zverejnení na osobitný mailový kontakt zakazkycko@vlada.gov.sk alebo ak zákazka vyhlásená osobou, ktorej verejný obstarávateľ poskytne 50% a menej finančných prostriedkov na dodanie tovaru, uskutočnenie stavebných prác a poskytnutie služieb z nenávratného finančného príspevku, bola zverejnená na webovom sídle prijímateľa, ale prijímateľ si nesplnil povinnosť zaslať </w:t>
            </w:r>
            <w:r w:rsidRPr="0016633D">
              <w:rPr>
                <w:rFonts w:ascii="Times New Roman" w:eastAsia="Calibri" w:hAnsi="Times New Roman"/>
                <w:sz w:val="22"/>
                <w:szCs w:val="22"/>
                <w:lang w:val="sk-SK" w:eastAsia="cs-CZ"/>
              </w:rPr>
              <w:lastRenderedPageBreak/>
              <w:t xml:space="preserve">informáciu o tomto zverejnení na osobitný mailový kontakt </w:t>
            </w:r>
            <w:hyperlink r:id="rId12" w:history="1">
              <w:r w:rsidRPr="0016633D">
                <w:rPr>
                  <w:rFonts w:ascii="Times New Roman" w:eastAsia="Calibri" w:hAnsi="Times New Roman"/>
                  <w:color w:val="0000FF"/>
                  <w:sz w:val="22"/>
                  <w:szCs w:val="22"/>
                  <w:u w:val="single"/>
                  <w:lang w:val="sk-SK" w:eastAsia="cs-CZ"/>
                </w:rPr>
                <w:t>zakazkycko@vlada.gov.sk</w:t>
              </w:r>
            </w:hyperlink>
            <w:r w:rsidRPr="0016633D">
              <w:rPr>
                <w:rFonts w:ascii="Times New Roman" w:eastAsia="Calibri" w:hAnsi="Times New Roman"/>
                <w:sz w:val="22"/>
                <w:szCs w:val="22"/>
                <w:lang w:val="sk-SK" w:eastAsia="cs-CZ"/>
              </w:rPr>
              <w:t xml:space="preserve"> (platí aj pre prípady, ak prijímateľ zaslal informáciu o zverejnení na osobitný mailový kontakt zakazkycko@vlada.gov.sk, ale zákazka nebola zverejnená na webovom sídle alebo ak odkaz na webové sídlo prijímateľa nie je funkčný). </w:t>
            </w:r>
          </w:p>
          <w:p w14:paraId="232F60C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6BA0B4AA" w14:textId="77777777" w:rsidR="0016633D" w:rsidRPr="0016633D" w:rsidDel="00423634"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Finančná oprava podľa tohto typu porušenia sa v prípade zákaziek podľa predchádzajúceho odseku neuplatní, ak prijímateľ oslovil s výzvou na predkladanie ponúk, resp. identifikoval (napr. cez webové rozhranie) min. troch vybraných záujemcov.</w:t>
            </w:r>
          </w:p>
        </w:tc>
        <w:tc>
          <w:tcPr>
            <w:tcW w:w="2552" w:type="dxa"/>
            <w:shd w:val="clear" w:color="auto" w:fill="auto"/>
          </w:tcPr>
          <w:p w14:paraId="0F3FE01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10%</w:t>
            </w:r>
          </w:p>
        </w:tc>
      </w:tr>
      <w:tr w:rsidR="0016633D" w:rsidRPr="0016633D" w14:paraId="20F74BD0" w14:textId="77777777" w:rsidTr="00983D96">
        <w:trPr>
          <w:trHeight w:val="2441"/>
        </w:trPr>
        <w:tc>
          <w:tcPr>
            <w:tcW w:w="675" w:type="dxa"/>
            <w:vMerge w:val="restart"/>
            <w:shd w:val="clear" w:color="auto" w:fill="auto"/>
            <w:vAlign w:val="center"/>
          </w:tcPr>
          <w:p w14:paraId="6E18E5D4"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w:t>
            </w:r>
          </w:p>
        </w:tc>
        <w:tc>
          <w:tcPr>
            <w:tcW w:w="3720" w:type="dxa"/>
            <w:vMerge w:val="restart"/>
            <w:shd w:val="clear" w:color="auto" w:fill="auto"/>
          </w:tcPr>
          <w:p w14:paraId="4C35F0F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Nedovolené rozdelenie predmetu zákazky </w:t>
            </w:r>
          </w:p>
        </w:tc>
        <w:tc>
          <w:tcPr>
            <w:tcW w:w="7087" w:type="dxa"/>
            <w:shd w:val="clear" w:color="auto" w:fill="auto"/>
          </w:tcPr>
          <w:p w14:paraId="4C6A5D2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Ide o rozdelenie predmetu zákazky s cieľom vyhnúť sa použitiu postupu zadávania nadlimitnej zákazky alebo postupu zadávania podlimitnej zákazky. </w:t>
            </w:r>
          </w:p>
          <w:p w14:paraId="2784225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1327466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Verejný obstarávateľ porušil § 6 ods. 16 ZVO, ak namiesto vyhlásenia nadlimitnej zákazky alebo podlimitnej zákazky rozdelil predmet zákazky a realizoval tak napr. niekoľko zákaziek s nízkou hodnotou, ktoré neboli korektne zverejnené na webovom sídle prijímateľa alebo inom vhodnom webovom sídle. </w:t>
            </w:r>
          </w:p>
        </w:tc>
        <w:tc>
          <w:tcPr>
            <w:tcW w:w="2552" w:type="dxa"/>
            <w:shd w:val="clear" w:color="auto" w:fill="auto"/>
          </w:tcPr>
          <w:p w14:paraId="64C446CA"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100%  vzťahuje sa na každú z rozdelených zákaziek</w:t>
            </w:r>
          </w:p>
          <w:p w14:paraId="58DC92C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 </w:t>
            </w:r>
          </w:p>
        </w:tc>
      </w:tr>
      <w:tr w:rsidR="0016633D" w:rsidRPr="0016633D" w14:paraId="7EABA693" w14:textId="77777777" w:rsidTr="00983D96">
        <w:trPr>
          <w:trHeight w:val="70"/>
        </w:trPr>
        <w:tc>
          <w:tcPr>
            <w:tcW w:w="675" w:type="dxa"/>
            <w:vMerge/>
            <w:shd w:val="clear" w:color="auto" w:fill="auto"/>
            <w:vAlign w:val="center"/>
          </w:tcPr>
          <w:p w14:paraId="4A241F89"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66DAB4B7"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6F53CA8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Verejný obstarávateľ porušil § 6 ods. 16 ZVO, keď namiesto vyhlásenia nadlimitnej zákazky rozdelil predmet zákazky a vyhlásil podlimitné zákazky, ktoré boli korektne zverejnené vo vestníku ÚVO alebo v EKS (podlimitné zákazky s využitím elektronického trhoviska).          </w:t>
            </w:r>
          </w:p>
          <w:p w14:paraId="7C8DE5D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6AB7AE3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Verejný obstarávateľ</w:t>
            </w:r>
            <w:r w:rsidRPr="0016633D">
              <w:rPr>
                <w:rFonts w:ascii="Times New Roman" w:eastAsia="Calibri" w:hAnsi="Times New Roman"/>
                <w:sz w:val="22"/>
                <w:szCs w:val="22"/>
                <w:lang w:val="sk-SK"/>
              </w:rPr>
              <w:t xml:space="preserve"> </w:t>
            </w:r>
            <w:r w:rsidRPr="0016633D">
              <w:rPr>
                <w:rFonts w:ascii="Times New Roman" w:eastAsia="Calibri" w:hAnsi="Times New Roman"/>
                <w:sz w:val="22"/>
                <w:szCs w:val="22"/>
                <w:lang w:val="sk-SK" w:eastAsia="cs-CZ"/>
              </w:rPr>
              <w:t xml:space="preserve">porušil § 6 ods. 16 ZVO, keď namiesto vyhlásenia nadlimitnej alebo podlimitnej zákazky, vyhlásil zákazky s nízkou hodnotou, </w:t>
            </w:r>
            <w:r w:rsidRPr="0016633D">
              <w:rPr>
                <w:rFonts w:ascii="Times New Roman" w:eastAsia="Calibri" w:hAnsi="Times New Roman"/>
                <w:sz w:val="22"/>
                <w:szCs w:val="22"/>
                <w:lang w:val="sk-SK" w:eastAsia="cs-CZ"/>
              </w:rPr>
              <w:lastRenderedPageBreak/>
              <w:t xml:space="preserve">ktoré boli korektne zverejnené na webovom sídle prijímateľa a informácia            o zverejnení zaslaná na mailový kontakt zakazkycko@vlada.gov.sk </w:t>
            </w:r>
          </w:p>
        </w:tc>
        <w:tc>
          <w:tcPr>
            <w:tcW w:w="2552" w:type="dxa"/>
            <w:shd w:val="clear" w:color="auto" w:fill="auto"/>
          </w:tcPr>
          <w:p w14:paraId="23A4567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25% vzťahuje sa na každú z rozdelených zákaziek</w:t>
            </w:r>
          </w:p>
          <w:p w14:paraId="7295FA2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5C8C519B" w14:textId="77777777" w:rsidTr="00983D96">
        <w:trPr>
          <w:trHeight w:val="70"/>
        </w:trPr>
        <w:tc>
          <w:tcPr>
            <w:tcW w:w="675" w:type="dxa"/>
            <w:vMerge/>
            <w:shd w:val="clear" w:color="auto" w:fill="auto"/>
            <w:vAlign w:val="center"/>
          </w:tcPr>
          <w:p w14:paraId="1A225CF3"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3354A062"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50999BBA"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2FF81D6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75FBBFBA" w14:textId="77777777" w:rsidTr="00983D96">
        <w:trPr>
          <w:trHeight w:val="503"/>
        </w:trPr>
        <w:tc>
          <w:tcPr>
            <w:tcW w:w="675" w:type="dxa"/>
            <w:vMerge w:val="restart"/>
            <w:shd w:val="clear" w:color="auto" w:fill="auto"/>
            <w:vAlign w:val="center"/>
          </w:tcPr>
          <w:p w14:paraId="0E237DB4"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3</w:t>
            </w:r>
          </w:p>
        </w:tc>
        <w:tc>
          <w:tcPr>
            <w:tcW w:w="3720" w:type="dxa"/>
            <w:vMerge w:val="restart"/>
            <w:shd w:val="clear" w:color="auto" w:fill="auto"/>
          </w:tcPr>
          <w:p w14:paraId="029A266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Nedovolené spájanie rôznorodých predmetov zákaziek, pričom zákazka nebola rozdelená na časti</w:t>
            </w:r>
          </w:p>
        </w:tc>
        <w:tc>
          <w:tcPr>
            <w:tcW w:w="7087" w:type="dxa"/>
            <w:shd w:val="clear" w:color="auto" w:fill="auto"/>
          </w:tcPr>
          <w:p w14:paraId="6EC0FAB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Verejný obstarávateľ porušil § 6 ods. 16  ZVO, ak bol obídený postup zadávania nadlimitnej alebo podlimitnej zákazky v dôsledku zahrnutia takej dodávky tovaru alebo poskytnutých služieb, ktoré nie sú nevyhnutné pri plnení zákazky na stavebné práce do PHZ. </w:t>
            </w:r>
          </w:p>
          <w:p w14:paraId="7C60080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0B206CD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25%</w:t>
            </w:r>
          </w:p>
        </w:tc>
      </w:tr>
      <w:tr w:rsidR="0016633D" w:rsidRPr="0016633D" w14:paraId="7FAC9FB7" w14:textId="77777777" w:rsidTr="00983D96">
        <w:trPr>
          <w:trHeight w:val="502"/>
        </w:trPr>
        <w:tc>
          <w:tcPr>
            <w:tcW w:w="675" w:type="dxa"/>
            <w:vMerge/>
            <w:shd w:val="clear" w:color="auto" w:fill="auto"/>
            <w:vAlign w:val="center"/>
          </w:tcPr>
          <w:p w14:paraId="55F7440C"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09FA556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63AB307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Ostatné prípady nedovoleného spájania rôznorodých zákaziek, ktoré mohlo obmedziť hospodársku súťaž.   </w:t>
            </w:r>
          </w:p>
          <w:p w14:paraId="396F8CEA"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077DC99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10%</w:t>
            </w:r>
          </w:p>
        </w:tc>
      </w:tr>
      <w:tr w:rsidR="0016633D" w:rsidRPr="0016633D" w14:paraId="2BE6A2BC" w14:textId="77777777" w:rsidTr="00983D96">
        <w:tc>
          <w:tcPr>
            <w:tcW w:w="675" w:type="dxa"/>
            <w:shd w:val="clear" w:color="auto" w:fill="auto"/>
            <w:vAlign w:val="center"/>
          </w:tcPr>
          <w:p w14:paraId="1C783036"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4</w:t>
            </w:r>
          </w:p>
        </w:tc>
        <w:tc>
          <w:tcPr>
            <w:tcW w:w="3720" w:type="dxa"/>
            <w:shd w:val="clear" w:color="auto" w:fill="auto"/>
          </w:tcPr>
          <w:p w14:paraId="49DE3D7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Neodôvodnenie nerozdelenia zákazky na časti</w:t>
            </w:r>
          </w:p>
        </w:tc>
        <w:tc>
          <w:tcPr>
            <w:tcW w:w="7087" w:type="dxa"/>
            <w:shd w:val="clear" w:color="auto" w:fill="auto"/>
          </w:tcPr>
          <w:p w14:paraId="6DE9D54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Verejný obstarávateľ porušil ustanovenie § 28 ods. 2 ZVO, keď neuviedol v oznámení o vyhlásení verejného obstarávania alebo súťažných podkladoch odôvodnenie nerozdelenia zákazky na časti v prípade nadlimitnej zákazky.</w:t>
            </w:r>
          </w:p>
          <w:p w14:paraId="3EA6E73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240129A2"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Tento typ porušenia sa vťahuje aj na prípady, ak odôvodnenie nerozdelenia zákazky na časti nebolo dostatočné.</w:t>
            </w:r>
          </w:p>
          <w:p w14:paraId="5BA700F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30DD111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5% </w:t>
            </w:r>
          </w:p>
        </w:tc>
      </w:tr>
      <w:tr w:rsidR="0016633D" w:rsidRPr="0016633D" w14:paraId="0EBE434D" w14:textId="77777777" w:rsidTr="00983D96">
        <w:trPr>
          <w:trHeight w:val="741"/>
        </w:trPr>
        <w:tc>
          <w:tcPr>
            <w:tcW w:w="675" w:type="dxa"/>
            <w:vMerge w:val="restart"/>
            <w:shd w:val="clear" w:color="auto" w:fill="auto"/>
            <w:vAlign w:val="center"/>
          </w:tcPr>
          <w:p w14:paraId="49FDE348"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5</w:t>
            </w:r>
          </w:p>
        </w:tc>
        <w:tc>
          <w:tcPr>
            <w:tcW w:w="3720" w:type="dxa"/>
            <w:vMerge w:val="restart"/>
            <w:shd w:val="clear" w:color="auto" w:fill="auto"/>
          </w:tcPr>
          <w:p w14:paraId="2C052AF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Nedodržanie minimálnej zákonnej lehoty na predkladanie ponúk</w:t>
            </w:r>
            <w:r w:rsidRPr="0016633D">
              <w:rPr>
                <w:rFonts w:ascii="Times New Roman" w:eastAsia="Calibri" w:hAnsi="Times New Roman"/>
                <w:sz w:val="22"/>
                <w:szCs w:val="22"/>
                <w:vertAlign w:val="superscript"/>
                <w:lang w:val="sk-SK" w:eastAsia="cs-CZ"/>
              </w:rPr>
              <w:footnoteReference w:id="3"/>
            </w:r>
          </w:p>
          <w:p w14:paraId="5D4DBEC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0A9C1CC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alebo</w:t>
            </w:r>
          </w:p>
          <w:p w14:paraId="2209B5C6"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698F237A"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Nedodržanie minimálnej zákonnej lehoty na predloženie žiadosti o účasť</w:t>
            </w:r>
            <w:r w:rsidRPr="0016633D">
              <w:rPr>
                <w:rFonts w:ascii="Times New Roman" w:eastAsia="Calibri" w:hAnsi="Times New Roman"/>
                <w:sz w:val="22"/>
                <w:szCs w:val="22"/>
                <w:vertAlign w:val="superscript"/>
                <w:lang w:val="sk-SK" w:eastAsia="cs-CZ"/>
              </w:rPr>
              <w:footnoteReference w:id="4"/>
            </w:r>
          </w:p>
          <w:p w14:paraId="3350E227"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4100BC0C"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alebo</w:t>
            </w:r>
          </w:p>
          <w:p w14:paraId="543AF5F2"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74FA19B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Nepredĺženie lehoty na predkladanie ponúk/lehoty na predkladanie žiadostí o účasť v prípade podstatných zmien v podmienkach zadávania zákazky</w:t>
            </w:r>
          </w:p>
        </w:tc>
        <w:tc>
          <w:tcPr>
            <w:tcW w:w="7087" w:type="dxa"/>
            <w:shd w:val="clear" w:color="auto" w:fill="auto"/>
          </w:tcPr>
          <w:p w14:paraId="39BA0C7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Lehota na predkladanie ponúk (alebo na predloženie žiadosti o účasť) bola kratšia ako minimálna lehota ustanovená ZVO. V uvedenom prípade je potrebné zohľadniť zverejnenie predbežného oznámenia a predkladanie ponúk elektronickými prostriedkami (ak relevantné).</w:t>
            </w:r>
          </w:p>
          <w:p w14:paraId="317C78D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0F337FA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 prípade, že skrátenie lehoty bolo rovné alebo väčšie ako 85% zo zákonnej lehoty alebo lehota na predkladanie ponúk bola 5 dní a menej.</w:t>
            </w:r>
          </w:p>
          <w:p w14:paraId="45B51D6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5036F727"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100% </w:t>
            </w:r>
          </w:p>
          <w:p w14:paraId="67B4661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63983F3B" w14:textId="77777777" w:rsidTr="00983D96">
        <w:trPr>
          <w:trHeight w:val="738"/>
        </w:trPr>
        <w:tc>
          <w:tcPr>
            <w:tcW w:w="675" w:type="dxa"/>
            <w:vMerge/>
            <w:shd w:val="clear" w:color="auto" w:fill="auto"/>
            <w:vAlign w:val="center"/>
          </w:tcPr>
          <w:p w14:paraId="34288F81"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131619F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51EFB562"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 prípade, že skrátenie lehoty bolo rovné alebo väčšie ako 50% zo zákonnej lehoty, ale menšie ako 85%.</w:t>
            </w:r>
          </w:p>
        </w:tc>
        <w:tc>
          <w:tcPr>
            <w:tcW w:w="2552" w:type="dxa"/>
            <w:shd w:val="clear" w:color="auto" w:fill="auto"/>
          </w:tcPr>
          <w:p w14:paraId="740E4C76"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25% </w:t>
            </w:r>
          </w:p>
        </w:tc>
      </w:tr>
      <w:tr w:rsidR="0016633D" w:rsidRPr="0016633D" w14:paraId="1925039D" w14:textId="77777777" w:rsidTr="00983D96">
        <w:trPr>
          <w:trHeight w:val="738"/>
        </w:trPr>
        <w:tc>
          <w:tcPr>
            <w:tcW w:w="675" w:type="dxa"/>
            <w:vMerge/>
            <w:shd w:val="clear" w:color="auto" w:fill="auto"/>
            <w:vAlign w:val="center"/>
          </w:tcPr>
          <w:p w14:paraId="62BE97B8"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44CF4D27"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5FCFACCE" w14:textId="77777777" w:rsidR="0016633D" w:rsidRPr="0016633D" w:rsidRDefault="0016633D" w:rsidP="0016633D">
            <w:pPr>
              <w:spacing w:after="200" w:line="276" w:lineRule="auto"/>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 prípade, že skrátenie lehoty bolo rovné alebo väčšie ako 30% zo zákonnej lehoty, ale menšie ako 50%.</w:t>
            </w:r>
          </w:p>
          <w:p w14:paraId="3D253A4C"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583A38D2"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Verejný obstarávateľ nepredĺžil lehotu na predkladanie ponúk/lehotu na predkladanie žiadostí o účasť v prípade podstatných zmien v podmienkach zadávania zákazky (napr. úprava podmienok účasti, ktorá zabezpečuje širšiu hospodársku súťaž) alebo nepredĺžil dostatočne lehotu na predkladanie ponúk/lehotu na predkladanie žiadostí o účasť v prípade podstatných zmien v podmienkach zadávania zákazky.</w:t>
            </w:r>
          </w:p>
          <w:p w14:paraId="4CA2A78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1700EA3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10%</w:t>
            </w:r>
          </w:p>
        </w:tc>
      </w:tr>
      <w:tr w:rsidR="0016633D" w:rsidRPr="0016633D" w14:paraId="6C23ACCD" w14:textId="77777777" w:rsidTr="00983D96">
        <w:trPr>
          <w:trHeight w:val="510"/>
        </w:trPr>
        <w:tc>
          <w:tcPr>
            <w:tcW w:w="675" w:type="dxa"/>
            <w:vMerge/>
            <w:shd w:val="clear" w:color="auto" w:fill="auto"/>
            <w:vAlign w:val="center"/>
          </w:tcPr>
          <w:p w14:paraId="3C085F26"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283708BA"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62568BD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 prípade, že skrátenie lehoty bolo menšie ako 30% zo zákonnej lehoty.</w:t>
            </w:r>
          </w:p>
        </w:tc>
        <w:tc>
          <w:tcPr>
            <w:tcW w:w="2552" w:type="dxa"/>
            <w:shd w:val="clear" w:color="auto" w:fill="auto"/>
          </w:tcPr>
          <w:p w14:paraId="2D3F301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5% </w:t>
            </w:r>
          </w:p>
        </w:tc>
      </w:tr>
      <w:tr w:rsidR="0016633D" w:rsidRPr="0016633D" w14:paraId="31B05AC2" w14:textId="77777777" w:rsidTr="00983D96">
        <w:trPr>
          <w:trHeight w:val="1770"/>
        </w:trPr>
        <w:tc>
          <w:tcPr>
            <w:tcW w:w="675" w:type="dxa"/>
            <w:vMerge w:val="restart"/>
            <w:shd w:val="clear" w:color="auto" w:fill="auto"/>
            <w:vAlign w:val="center"/>
          </w:tcPr>
          <w:p w14:paraId="2FA93041"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6</w:t>
            </w:r>
          </w:p>
        </w:tc>
        <w:tc>
          <w:tcPr>
            <w:tcW w:w="3720" w:type="dxa"/>
            <w:vMerge w:val="restart"/>
            <w:shd w:val="clear" w:color="auto" w:fill="auto"/>
          </w:tcPr>
          <w:p w14:paraId="08AD0A27"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Stanovenie lehoty na prijímanie žiadostí o súťažné podklady/súťažné podmienky (vzťahuje sa na verejnú súťaž, súťaž návrhov alebo podlimitné zákazky bez využitia elektronického trhoviska)</w:t>
            </w:r>
          </w:p>
          <w:p w14:paraId="716B3A27"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39A2EF0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alebo</w:t>
            </w:r>
          </w:p>
          <w:p w14:paraId="3AB8483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4AB8398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obmedzenie prístupu k súťažným podkladom alebo iným dokumentom, ktoré sú potrebné na vypracovanie žiadosti o účasť/ponuky </w:t>
            </w:r>
          </w:p>
        </w:tc>
        <w:tc>
          <w:tcPr>
            <w:tcW w:w="7087" w:type="dxa"/>
            <w:shd w:val="clear" w:color="auto" w:fill="auto"/>
          </w:tcPr>
          <w:p w14:paraId="1884DDEC"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Lehota stanovená na prijímanie žiadostí o súťažné podklady je rovnaká alebo kratšia ako 5 dní, čím sa vytvára neopodstatnená prekážka k otvorenej súťaži vo verejnom obstarávaní.</w:t>
            </w:r>
          </w:p>
          <w:p w14:paraId="3C425856"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5843BE8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Verejný obstarávateľ neposkytol bezodplatne neobmedzený, úplný a priamy prístup prostredníctvom elektronických prostriedkov k súťažným podkladom alebo iným dokumentom, ktoré sú potrebné na vypracovanie žiadosti                   o účasť/ponuky odo dňa uverejnenia oznámenia o vyhlásení verejného obstarávania, oznámenia použitého ako výzva na súťaž, oznámenia                      o vyhlásení súťaže návrhov alebo oznámenia o koncesii v európskom vestníku.</w:t>
            </w:r>
            <w:r w:rsidRPr="0016633D">
              <w:rPr>
                <w:rFonts w:ascii="Times New Roman" w:eastAsia="Calibri" w:hAnsi="Times New Roman"/>
                <w:sz w:val="22"/>
                <w:szCs w:val="22"/>
                <w:vertAlign w:val="superscript"/>
                <w:lang w:val="sk-SK" w:eastAsia="cs-CZ"/>
              </w:rPr>
              <w:t xml:space="preserve"> </w:t>
            </w:r>
            <w:r w:rsidRPr="0016633D">
              <w:rPr>
                <w:rFonts w:ascii="Times New Roman" w:eastAsia="Calibri" w:hAnsi="Times New Roman"/>
                <w:sz w:val="22"/>
                <w:szCs w:val="22"/>
                <w:vertAlign w:val="superscript"/>
                <w:lang w:val="sk-SK" w:eastAsia="cs-CZ"/>
              </w:rPr>
              <w:footnoteReference w:id="5"/>
            </w:r>
            <w:r w:rsidRPr="0016633D">
              <w:rPr>
                <w:rFonts w:ascii="Times New Roman" w:eastAsia="Calibri" w:hAnsi="Times New Roman"/>
                <w:sz w:val="22"/>
                <w:szCs w:val="22"/>
                <w:lang w:val="sk-SK" w:eastAsia="cs-CZ"/>
              </w:rPr>
              <w:t xml:space="preserve"> </w:t>
            </w:r>
          </w:p>
          <w:p w14:paraId="39F0E802"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6A01599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 prípade, že súťažné podklady alebo iné dokumenty, ktoré sú potrebné na vypracovanie žiadosti o účasť/ponuky, boli až do uplynutia lehoty na predkladanie ponúk zverejnené v profile a verejný obstarávateľ k nim poskytol bezodplatne neobmedzený, úplný a priamy prístup prostredníctvom elektronických prostriedkov, finančná oprava sa neuplatňuje.</w:t>
            </w:r>
          </w:p>
          <w:p w14:paraId="50D6A68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55C09856"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25% </w:t>
            </w:r>
          </w:p>
          <w:p w14:paraId="58A0F3A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201BED98" w14:textId="77777777" w:rsidTr="00983D96">
        <w:trPr>
          <w:trHeight w:val="1023"/>
        </w:trPr>
        <w:tc>
          <w:tcPr>
            <w:tcW w:w="675" w:type="dxa"/>
            <w:vMerge/>
            <w:shd w:val="clear" w:color="auto" w:fill="auto"/>
            <w:vAlign w:val="center"/>
          </w:tcPr>
          <w:p w14:paraId="55969F70"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0E6F792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6587DBD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 prípade, ak lehota na prijímanie žiadostí o súťažné podklady je menej ako 50% lehoty na predkladanie ponúk (v súlade s príslušnými ustanoveniami ZVO).</w:t>
            </w:r>
          </w:p>
        </w:tc>
        <w:tc>
          <w:tcPr>
            <w:tcW w:w="2552" w:type="dxa"/>
            <w:shd w:val="clear" w:color="auto" w:fill="auto"/>
          </w:tcPr>
          <w:p w14:paraId="28094E3A"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10% </w:t>
            </w:r>
          </w:p>
          <w:p w14:paraId="080AC45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22CB5427" w14:textId="77777777" w:rsidTr="00983D96">
        <w:trPr>
          <w:trHeight w:val="982"/>
        </w:trPr>
        <w:tc>
          <w:tcPr>
            <w:tcW w:w="675" w:type="dxa"/>
            <w:vMerge/>
            <w:shd w:val="clear" w:color="auto" w:fill="auto"/>
            <w:vAlign w:val="center"/>
          </w:tcPr>
          <w:p w14:paraId="6A769078"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61914AE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1DF32456"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 prípade, ak lehota na prijímanie žiadostí o súťažné podklady je menej ako 80% lehoty na predkladanie ponúk (v súlade s príslušnými ustanoveniami ZVO).</w:t>
            </w:r>
          </w:p>
        </w:tc>
        <w:tc>
          <w:tcPr>
            <w:tcW w:w="2552" w:type="dxa"/>
            <w:shd w:val="clear" w:color="auto" w:fill="auto"/>
          </w:tcPr>
          <w:p w14:paraId="13C5B55C"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5% </w:t>
            </w:r>
          </w:p>
        </w:tc>
      </w:tr>
      <w:tr w:rsidR="0016633D" w:rsidRPr="0016633D" w14:paraId="4212182F" w14:textId="77777777" w:rsidTr="00983D96">
        <w:trPr>
          <w:trHeight w:val="1250"/>
        </w:trPr>
        <w:tc>
          <w:tcPr>
            <w:tcW w:w="675" w:type="dxa"/>
            <w:vMerge w:val="restart"/>
            <w:shd w:val="clear" w:color="auto" w:fill="auto"/>
            <w:vAlign w:val="center"/>
          </w:tcPr>
          <w:p w14:paraId="6D682BD0"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7</w:t>
            </w:r>
          </w:p>
        </w:tc>
        <w:tc>
          <w:tcPr>
            <w:tcW w:w="3720" w:type="dxa"/>
            <w:vMerge w:val="restart"/>
            <w:shd w:val="clear" w:color="auto" w:fill="auto"/>
          </w:tcPr>
          <w:p w14:paraId="5065CDFC"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Nedodržanie postupov zverejňovania opravy oznámenia o vyhlásení verejného obstarávania/výzvy na predkladanie ponúk v prípade</w:t>
            </w:r>
          </w:p>
          <w:p w14:paraId="6C9C2D76" w14:textId="77777777" w:rsidR="0016633D" w:rsidRPr="0016633D" w:rsidRDefault="0016633D" w:rsidP="0016633D">
            <w:pPr>
              <w:numPr>
                <w:ilvl w:val="0"/>
                <w:numId w:val="155"/>
              </w:num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predĺženia lehoty na predkladanie ponúk</w:t>
            </w:r>
          </w:p>
          <w:p w14:paraId="3E88FDCE" w14:textId="77777777" w:rsidR="0016633D" w:rsidRPr="0016633D" w:rsidRDefault="0016633D" w:rsidP="0016633D">
            <w:pPr>
              <w:numPr>
                <w:ilvl w:val="0"/>
                <w:numId w:val="155"/>
              </w:num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predĺženia lehoty na žiadosti o účasť</w:t>
            </w:r>
            <w:r w:rsidRPr="0016633D">
              <w:rPr>
                <w:rFonts w:ascii="Times New Roman" w:eastAsia="Calibri" w:hAnsi="Times New Roman"/>
                <w:sz w:val="22"/>
                <w:szCs w:val="22"/>
                <w:vertAlign w:val="superscript"/>
                <w:lang w:val="sk-SK" w:eastAsia="cs-CZ"/>
              </w:rPr>
              <w:footnoteReference w:id="6"/>
            </w:r>
          </w:p>
          <w:p w14:paraId="287D9E1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762641B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alebo</w:t>
            </w:r>
          </w:p>
          <w:p w14:paraId="34B45BF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0638825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 xml:space="preserve">nepredĺženie lehoty na predkladanie ponúk </w:t>
            </w:r>
          </w:p>
        </w:tc>
        <w:tc>
          <w:tcPr>
            <w:tcW w:w="7087" w:type="dxa"/>
            <w:shd w:val="clear" w:color="auto" w:fill="auto"/>
          </w:tcPr>
          <w:p w14:paraId="40EC661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Lehota na predkladanie ponúk (alebo lehota na predloženie žiadosti o účasť) bola predĺžená (jej pôvodne určená lehota bola v súlade so ZVO), pričom verejný obstarávateľ nezverejnil túto skutočnosť formou redakčnej opravy v európskom vestníku/vo vestníku ÚVO.</w:t>
            </w:r>
          </w:p>
          <w:p w14:paraId="48158C8C"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7DBDAAE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Verejný obstarávateľ nepredĺžil lehotu na predkladanie ponúk/lehotu na predkladanie žiadostí o účasť,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požiada záujemca dostatočne vopred (v prípade podlimitných zákaziek).</w:t>
            </w:r>
          </w:p>
          <w:p w14:paraId="70533EA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  </w:t>
            </w:r>
          </w:p>
        </w:tc>
        <w:tc>
          <w:tcPr>
            <w:tcW w:w="2552" w:type="dxa"/>
            <w:shd w:val="clear" w:color="auto" w:fill="auto"/>
          </w:tcPr>
          <w:p w14:paraId="449796E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10% </w:t>
            </w:r>
          </w:p>
          <w:p w14:paraId="0685476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2AA0D08D" w14:textId="77777777" w:rsidTr="00983D96">
        <w:trPr>
          <w:trHeight w:val="1477"/>
        </w:trPr>
        <w:tc>
          <w:tcPr>
            <w:tcW w:w="675" w:type="dxa"/>
            <w:vMerge/>
            <w:shd w:val="clear" w:color="auto" w:fill="auto"/>
            <w:vAlign w:val="center"/>
          </w:tcPr>
          <w:p w14:paraId="4B369904"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0899156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73D7004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Lehota na predkladanie ponúk (alebo lehota na predloženie žiadosti o účasť) bola predĺžená (jej pôvodne určená lehota bola v súlade so ZVO), pričom verejný obstarávateľ nezverejnil túto skutočnosť formou redakčnej opravy v európskom vestníku/vo vestníku ÚVO,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1A32D1A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5%</w:t>
            </w:r>
          </w:p>
        </w:tc>
      </w:tr>
      <w:tr w:rsidR="0016633D" w:rsidRPr="0016633D" w14:paraId="0289920C" w14:textId="77777777" w:rsidTr="00983D96">
        <w:trPr>
          <w:trHeight w:val="526"/>
        </w:trPr>
        <w:tc>
          <w:tcPr>
            <w:tcW w:w="675" w:type="dxa"/>
            <w:vMerge w:val="restart"/>
            <w:shd w:val="clear" w:color="auto" w:fill="auto"/>
            <w:vAlign w:val="center"/>
          </w:tcPr>
          <w:p w14:paraId="766D7A80"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8</w:t>
            </w:r>
          </w:p>
        </w:tc>
        <w:tc>
          <w:tcPr>
            <w:tcW w:w="3720" w:type="dxa"/>
            <w:vMerge w:val="restart"/>
            <w:shd w:val="clear" w:color="auto" w:fill="auto"/>
          </w:tcPr>
          <w:p w14:paraId="6101731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Neoprávnené použitie rokovacieho konania so zverejnením alebo súťažného dialógu</w:t>
            </w:r>
          </w:p>
        </w:tc>
        <w:tc>
          <w:tcPr>
            <w:tcW w:w="7087" w:type="dxa"/>
            <w:shd w:val="clear" w:color="auto" w:fill="auto"/>
          </w:tcPr>
          <w:p w14:paraId="0FA822A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Verejný obstarávateľ zadá zákazku na základe rokovacieho konania so zverejnením alebo postupom súťažného dialógu, avšak takýto postup nie je oprávnený aplikovať podľa dotknutých ustanovení ZVO.</w:t>
            </w:r>
          </w:p>
        </w:tc>
        <w:tc>
          <w:tcPr>
            <w:tcW w:w="2552" w:type="dxa"/>
            <w:shd w:val="clear" w:color="auto" w:fill="auto"/>
          </w:tcPr>
          <w:p w14:paraId="404715F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25%</w:t>
            </w:r>
          </w:p>
          <w:p w14:paraId="0222C41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0ACA00B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4E8DBED1" w14:textId="77777777" w:rsidTr="00983D96">
        <w:trPr>
          <w:trHeight w:val="526"/>
        </w:trPr>
        <w:tc>
          <w:tcPr>
            <w:tcW w:w="675" w:type="dxa"/>
            <w:vMerge/>
            <w:shd w:val="clear" w:color="auto" w:fill="auto"/>
            <w:vAlign w:val="center"/>
          </w:tcPr>
          <w:p w14:paraId="72B4979C"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152934A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68D5298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54A80C5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4DEE6B0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10%</w:t>
            </w:r>
          </w:p>
        </w:tc>
      </w:tr>
      <w:tr w:rsidR="0016633D" w:rsidRPr="0016633D" w14:paraId="357BB2B6" w14:textId="77777777" w:rsidTr="00983D96">
        <w:trPr>
          <w:trHeight w:val="633"/>
        </w:trPr>
        <w:tc>
          <w:tcPr>
            <w:tcW w:w="675" w:type="dxa"/>
            <w:vMerge w:val="restart"/>
            <w:shd w:val="clear" w:color="auto" w:fill="auto"/>
          </w:tcPr>
          <w:p w14:paraId="2EDE43C0"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1FD9DED7"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04469987"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237C8518"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7B0AB445"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64B2B100"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363D499B"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683D9BC5"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1E8DB3F4"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3D3D53E2"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74C7E070"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rPr>
              <w:t>9</w:t>
            </w:r>
          </w:p>
        </w:tc>
        <w:tc>
          <w:tcPr>
            <w:tcW w:w="3720" w:type="dxa"/>
            <w:vMerge w:val="restart"/>
            <w:shd w:val="clear" w:color="auto" w:fill="auto"/>
          </w:tcPr>
          <w:p w14:paraId="32FA12A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rPr>
              <w:lastRenderedPageBreak/>
              <w:t>Nedodržanie povinnej elektronickej komunikácie pri zadávaní nadlimitných a podlimitných zákaziek VO po 18.10.2018 a nedodržanie pravidiel pre centralizovanú činnosť vo verejnom obstarávaní</w:t>
            </w:r>
          </w:p>
        </w:tc>
        <w:tc>
          <w:tcPr>
            <w:tcW w:w="7087" w:type="dxa"/>
            <w:shd w:val="clear" w:color="auto" w:fill="auto"/>
          </w:tcPr>
          <w:p w14:paraId="3EA9CB0F" w14:textId="77777777" w:rsidR="0016633D" w:rsidRPr="0016633D" w:rsidRDefault="0016633D" w:rsidP="0016633D">
            <w:pPr>
              <w:spacing w:after="200" w:line="276" w:lineRule="auto"/>
              <w:jc w:val="both"/>
              <w:rPr>
                <w:rFonts w:ascii="Times New Roman" w:eastAsia="Calibri" w:hAnsi="Times New Roman"/>
                <w:sz w:val="22"/>
                <w:szCs w:val="22"/>
                <w:lang w:val="sk-SK"/>
              </w:rPr>
            </w:pPr>
            <w:r w:rsidRPr="0016633D">
              <w:rPr>
                <w:rFonts w:ascii="Times New Roman" w:eastAsia="Calibri" w:hAnsi="Times New Roman"/>
                <w:sz w:val="22"/>
                <w:szCs w:val="22"/>
                <w:lang w:val="sk-SK"/>
              </w:rPr>
              <w:t>Verejný obstarávateľ nedodržal po 18.10.2018 povinnú elektronickú komunikáciu v prípade zadávania nadlimitnej alebo podlimitnej zákazky v súlade s § 20 ZVO alebo porušil pravidlá pre centralizovanú činnosť vo verejnom obstarávaní, čo malo vplyv na výsledok VO.</w:t>
            </w:r>
          </w:p>
          <w:p w14:paraId="12DFE21B" w14:textId="77777777" w:rsidR="0016633D" w:rsidRPr="0016633D" w:rsidRDefault="0016633D" w:rsidP="0016633D">
            <w:pPr>
              <w:spacing w:after="200" w:line="276" w:lineRule="auto"/>
              <w:jc w:val="both"/>
              <w:rPr>
                <w:rFonts w:ascii="Times New Roman" w:eastAsia="Calibri" w:hAnsi="Times New Roman"/>
                <w:sz w:val="22"/>
                <w:szCs w:val="22"/>
                <w:lang w:val="sk-SK"/>
              </w:rPr>
            </w:pPr>
          </w:p>
          <w:p w14:paraId="31F1EF9D" w14:textId="77777777" w:rsidR="0016633D" w:rsidRPr="0016633D" w:rsidRDefault="0016633D" w:rsidP="0016633D">
            <w:pPr>
              <w:spacing w:after="200" w:line="276" w:lineRule="auto"/>
              <w:jc w:val="both"/>
              <w:rPr>
                <w:rFonts w:ascii="Times New Roman" w:eastAsia="Calibri" w:hAnsi="Times New Roman"/>
                <w:sz w:val="22"/>
                <w:szCs w:val="22"/>
                <w:lang w:val="sk-SK"/>
              </w:rPr>
            </w:pPr>
            <w:r w:rsidRPr="0016633D">
              <w:rPr>
                <w:rFonts w:ascii="Times New Roman" w:eastAsia="Calibri" w:hAnsi="Times New Roman"/>
                <w:sz w:val="22"/>
                <w:szCs w:val="22"/>
                <w:lang w:val="sk-SK"/>
              </w:rPr>
              <w:t xml:space="preserve">Uvedený typ porušenia sa týka aj nedostatkov identifikovaných pri zadávaní </w:t>
            </w:r>
            <w:r w:rsidRPr="0016633D">
              <w:rPr>
                <w:rFonts w:ascii="Times New Roman" w:eastAsia="Calibri" w:hAnsi="Times New Roman"/>
                <w:sz w:val="22"/>
                <w:szCs w:val="22"/>
                <w:lang w:val="sk-SK"/>
              </w:rPr>
              <w:lastRenderedPageBreak/>
              <w:t>zákaziek cez dynamický nákupný systém, uzatváraní rámcových dohôd</w:t>
            </w:r>
            <w:r w:rsidRPr="0016633D">
              <w:rPr>
                <w:rFonts w:ascii="Times New Roman" w:eastAsia="Calibri" w:hAnsi="Times New Roman"/>
                <w:sz w:val="22"/>
                <w:szCs w:val="22"/>
                <w:vertAlign w:val="superscript"/>
                <w:lang w:val="sk-SK" w:eastAsia="cs-CZ"/>
              </w:rPr>
              <w:footnoteReference w:id="7"/>
            </w:r>
            <w:r w:rsidRPr="0016633D">
              <w:rPr>
                <w:rFonts w:ascii="Times New Roman" w:eastAsia="Calibri" w:hAnsi="Times New Roman"/>
                <w:sz w:val="22"/>
                <w:szCs w:val="22"/>
                <w:lang w:val="sk-SK"/>
              </w:rPr>
              <w:t xml:space="preserve">, elektronických aukciách, postupov, v rámci ktorých sa ponuky predkladajú vo forme elektronického katalógu. </w:t>
            </w:r>
          </w:p>
          <w:p w14:paraId="298230A7" w14:textId="77777777" w:rsidR="0016633D" w:rsidRPr="0016633D" w:rsidDel="005A6F58"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02914F9D" w14:textId="77777777" w:rsidR="0016633D" w:rsidRPr="0016633D" w:rsidRDefault="0016633D" w:rsidP="0016633D">
            <w:pPr>
              <w:spacing w:after="200" w:line="276" w:lineRule="auto"/>
              <w:jc w:val="both"/>
              <w:rPr>
                <w:rFonts w:ascii="Times New Roman" w:eastAsia="Calibri" w:hAnsi="Times New Roman"/>
                <w:sz w:val="22"/>
                <w:szCs w:val="22"/>
                <w:lang w:val="sk-SK"/>
              </w:rPr>
            </w:pPr>
            <w:r w:rsidRPr="0016633D">
              <w:rPr>
                <w:rFonts w:ascii="Times New Roman" w:eastAsia="Calibri" w:hAnsi="Times New Roman"/>
                <w:sz w:val="22"/>
                <w:szCs w:val="22"/>
                <w:lang w:val="sk-SK"/>
              </w:rPr>
              <w:lastRenderedPageBreak/>
              <w:t>25%</w:t>
            </w:r>
          </w:p>
          <w:p w14:paraId="1BA7DE74" w14:textId="77777777" w:rsidR="0016633D" w:rsidRPr="0016633D" w:rsidRDefault="0016633D" w:rsidP="0016633D">
            <w:pPr>
              <w:spacing w:after="200" w:line="276" w:lineRule="auto"/>
              <w:jc w:val="both"/>
              <w:rPr>
                <w:rFonts w:ascii="Times New Roman" w:eastAsia="Calibri" w:hAnsi="Times New Roman"/>
                <w:sz w:val="22"/>
                <w:szCs w:val="22"/>
                <w:lang w:val="sk-SK"/>
              </w:rPr>
            </w:pPr>
          </w:p>
          <w:p w14:paraId="120DC64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35D5C044" w14:textId="77777777" w:rsidTr="00983D96">
        <w:trPr>
          <w:trHeight w:val="632"/>
        </w:trPr>
        <w:tc>
          <w:tcPr>
            <w:tcW w:w="675" w:type="dxa"/>
            <w:vMerge/>
            <w:shd w:val="clear" w:color="auto" w:fill="auto"/>
          </w:tcPr>
          <w:p w14:paraId="6583B6B3" w14:textId="77777777" w:rsidR="0016633D" w:rsidRPr="0016633D" w:rsidRDefault="0016633D" w:rsidP="0016633D">
            <w:pPr>
              <w:spacing w:after="200" w:line="276" w:lineRule="auto"/>
              <w:jc w:val="center"/>
              <w:rPr>
                <w:rFonts w:ascii="Times New Roman" w:eastAsia="Calibri" w:hAnsi="Times New Roman"/>
                <w:sz w:val="22"/>
                <w:szCs w:val="22"/>
                <w:lang w:val="sk-SK"/>
              </w:rPr>
            </w:pPr>
          </w:p>
        </w:tc>
        <w:tc>
          <w:tcPr>
            <w:tcW w:w="3720" w:type="dxa"/>
            <w:vMerge/>
            <w:shd w:val="clear" w:color="auto" w:fill="auto"/>
          </w:tcPr>
          <w:p w14:paraId="0904CEEB" w14:textId="77777777" w:rsidR="0016633D" w:rsidRPr="0016633D" w:rsidRDefault="0016633D" w:rsidP="0016633D">
            <w:pPr>
              <w:spacing w:after="200" w:line="276" w:lineRule="auto"/>
              <w:jc w:val="both"/>
              <w:rPr>
                <w:rFonts w:ascii="Times New Roman" w:eastAsia="Calibri" w:hAnsi="Times New Roman"/>
                <w:sz w:val="22"/>
                <w:szCs w:val="22"/>
                <w:lang w:val="sk-SK"/>
              </w:rPr>
            </w:pPr>
          </w:p>
        </w:tc>
        <w:tc>
          <w:tcPr>
            <w:tcW w:w="7087" w:type="dxa"/>
            <w:shd w:val="clear" w:color="auto" w:fill="auto"/>
          </w:tcPr>
          <w:p w14:paraId="1882B157" w14:textId="77777777" w:rsidR="0016633D" w:rsidRPr="0016633D" w:rsidRDefault="0016633D" w:rsidP="0016633D">
            <w:pPr>
              <w:spacing w:after="200" w:line="276" w:lineRule="auto"/>
              <w:jc w:val="both"/>
              <w:rPr>
                <w:rFonts w:ascii="Times New Roman" w:eastAsia="Calibri" w:hAnsi="Times New Roman"/>
                <w:sz w:val="22"/>
                <w:szCs w:val="22"/>
                <w:lang w:val="sk-SK"/>
              </w:rPr>
            </w:pPr>
            <w:r w:rsidRPr="0016633D">
              <w:rPr>
                <w:rFonts w:ascii="Times New Roman" w:eastAsia="Calibri" w:hAnsi="Times New Roman"/>
                <w:sz w:val="22"/>
                <w:szCs w:val="22"/>
                <w:lang w:val="sk-SK"/>
              </w:rPr>
              <w:t>Verejný obstarávateľ nedodržal po 18.10.2018 povinnú elektronickú komunikáciu v prípade zadávania nadlimitnej alebo podlimitnej zákazky v súlade s § 20 ZVO alebo porušil pravidlá pre centralizovanú činnosť vo verejnom obstarávaní, čo mohlo mať vplyv na výsledok VO a/alebo uvedené pochybenie mohlo odradiť potenciálnych uchádzačov/záujemcov od predloženia ponuky/žiadosti o účasť.</w:t>
            </w:r>
          </w:p>
          <w:p w14:paraId="68DA1146" w14:textId="77777777" w:rsidR="0016633D" w:rsidRPr="0016633D" w:rsidRDefault="0016633D" w:rsidP="0016633D">
            <w:pPr>
              <w:spacing w:after="200" w:line="276" w:lineRule="auto"/>
              <w:jc w:val="both"/>
              <w:rPr>
                <w:rFonts w:ascii="Times New Roman" w:eastAsia="Calibri" w:hAnsi="Times New Roman"/>
                <w:sz w:val="22"/>
                <w:szCs w:val="22"/>
                <w:lang w:val="sk-SK"/>
              </w:rPr>
            </w:pPr>
          </w:p>
          <w:p w14:paraId="10D58CE3" w14:textId="77777777" w:rsidR="0016633D" w:rsidRPr="0016633D" w:rsidRDefault="0016633D" w:rsidP="0016633D">
            <w:pPr>
              <w:spacing w:after="200" w:line="276" w:lineRule="auto"/>
              <w:jc w:val="both"/>
              <w:rPr>
                <w:rFonts w:ascii="Times New Roman" w:eastAsia="Calibri" w:hAnsi="Times New Roman"/>
                <w:sz w:val="22"/>
                <w:szCs w:val="22"/>
                <w:lang w:val="sk-SK"/>
              </w:rPr>
            </w:pPr>
            <w:r w:rsidRPr="0016633D">
              <w:rPr>
                <w:rFonts w:ascii="Times New Roman" w:eastAsia="Calibri" w:hAnsi="Times New Roman"/>
                <w:sz w:val="22"/>
                <w:szCs w:val="22"/>
                <w:lang w:val="sk-SK"/>
              </w:rPr>
              <w:t>Uvedený typ porušenia sa týka aj nedostatkov identifikovaných pri zadávaní zákaziek cez dynamický nákupný systém, uzatváraní rámcových dohôd</w:t>
            </w:r>
            <w:r w:rsidRPr="0016633D">
              <w:rPr>
                <w:rFonts w:ascii="Times New Roman" w:eastAsia="Calibri" w:hAnsi="Times New Roman"/>
                <w:sz w:val="22"/>
                <w:szCs w:val="22"/>
                <w:vertAlign w:val="superscript"/>
                <w:lang w:val="sk-SK" w:eastAsia="cs-CZ"/>
              </w:rPr>
              <w:footnoteReference w:id="8"/>
            </w:r>
            <w:r w:rsidRPr="0016633D">
              <w:rPr>
                <w:rFonts w:ascii="Times New Roman" w:eastAsia="Calibri" w:hAnsi="Times New Roman"/>
                <w:sz w:val="22"/>
                <w:szCs w:val="22"/>
                <w:lang w:val="sk-SK"/>
              </w:rPr>
              <w:t>, elektronických aukciách, postupov, v rámci ktorých sa ponuky predkladajú vo forme elektronického katalógu.</w:t>
            </w:r>
          </w:p>
          <w:p w14:paraId="6B8AADDD" w14:textId="77777777" w:rsidR="0016633D" w:rsidRPr="0016633D" w:rsidRDefault="0016633D" w:rsidP="0016633D">
            <w:pPr>
              <w:spacing w:after="200" w:line="276" w:lineRule="auto"/>
              <w:jc w:val="both"/>
              <w:rPr>
                <w:rFonts w:ascii="Times New Roman" w:eastAsia="Calibri" w:hAnsi="Times New Roman"/>
                <w:sz w:val="22"/>
                <w:szCs w:val="22"/>
                <w:lang w:val="sk-SK"/>
              </w:rPr>
            </w:pPr>
          </w:p>
        </w:tc>
        <w:tc>
          <w:tcPr>
            <w:tcW w:w="2552" w:type="dxa"/>
            <w:shd w:val="clear" w:color="auto" w:fill="auto"/>
          </w:tcPr>
          <w:p w14:paraId="423CE97A" w14:textId="77777777" w:rsidR="0016633D" w:rsidRPr="0016633D" w:rsidRDefault="0016633D" w:rsidP="0016633D">
            <w:pPr>
              <w:spacing w:after="200" w:line="276" w:lineRule="auto"/>
              <w:jc w:val="both"/>
              <w:rPr>
                <w:rFonts w:ascii="Times New Roman" w:eastAsia="Calibri" w:hAnsi="Times New Roman"/>
                <w:sz w:val="22"/>
                <w:szCs w:val="22"/>
                <w:lang w:val="sk-SK"/>
              </w:rPr>
            </w:pPr>
            <w:r w:rsidRPr="0016633D">
              <w:rPr>
                <w:rFonts w:ascii="Times New Roman" w:eastAsia="Calibri" w:hAnsi="Times New Roman"/>
                <w:sz w:val="22"/>
                <w:szCs w:val="22"/>
                <w:lang w:val="sk-SK"/>
              </w:rPr>
              <w:t>10%</w:t>
            </w:r>
          </w:p>
        </w:tc>
      </w:tr>
      <w:tr w:rsidR="0016633D" w:rsidRPr="0016633D" w14:paraId="4EC142C8" w14:textId="77777777" w:rsidTr="00983D96">
        <w:trPr>
          <w:trHeight w:val="845"/>
        </w:trPr>
        <w:tc>
          <w:tcPr>
            <w:tcW w:w="675" w:type="dxa"/>
            <w:vMerge w:val="restart"/>
            <w:shd w:val="clear" w:color="auto" w:fill="auto"/>
            <w:vAlign w:val="center"/>
          </w:tcPr>
          <w:p w14:paraId="643DCD76"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10</w:t>
            </w:r>
          </w:p>
        </w:tc>
        <w:tc>
          <w:tcPr>
            <w:tcW w:w="3720" w:type="dxa"/>
            <w:vMerge w:val="restart"/>
            <w:shd w:val="clear" w:color="auto" w:fill="auto"/>
          </w:tcPr>
          <w:p w14:paraId="3200232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Neuvedenie:</w:t>
            </w:r>
          </w:p>
          <w:p w14:paraId="4A5054BF" w14:textId="77777777" w:rsidR="0016633D" w:rsidRPr="0016633D" w:rsidRDefault="0016633D" w:rsidP="0016633D">
            <w:pPr>
              <w:numPr>
                <w:ilvl w:val="0"/>
                <w:numId w:val="155"/>
              </w:num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podmienok účasti v oznámení o vyhlásení VO,</w:t>
            </w:r>
            <w:r w:rsidRPr="0016633D">
              <w:rPr>
                <w:rFonts w:ascii="Times New Roman" w:eastAsia="Calibri" w:hAnsi="Times New Roman"/>
                <w:sz w:val="22"/>
                <w:szCs w:val="22"/>
                <w:lang w:val="sk-SK"/>
              </w:rPr>
              <w:t xml:space="preserve"> </w:t>
            </w:r>
            <w:r w:rsidRPr="0016633D">
              <w:rPr>
                <w:rFonts w:ascii="Times New Roman" w:eastAsia="Calibri" w:hAnsi="Times New Roman"/>
                <w:sz w:val="22"/>
                <w:szCs w:val="22"/>
                <w:lang w:val="sk-SK" w:eastAsia="cs-CZ"/>
              </w:rPr>
              <w:t xml:space="preserve">resp. vo výzve </w:t>
            </w:r>
            <w:r w:rsidRPr="0016633D">
              <w:rPr>
                <w:rFonts w:ascii="Times New Roman" w:eastAsia="Calibri" w:hAnsi="Times New Roman"/>
                <w:sz w:val="22"/>
                <w:szCs w:val="22"/>
                <w:lang w:val="sk-SK" w:eastAsia="cs-CZ"/>
              </w:rPr>
              <w:lastRenderedPageBreak/>
              <w:t>na predkladanie ponúk,</w:t>
            </w:r>
          </w:p>
          <w:p w14:paraId="06D0003A" w14:textId="77777777" w:rsidR="0016633D" w:rsidRPr="0016633D" w:rsidRDefault="0016633D" w:rsidP="0016633D">
            <w:pPr>
              <w:numPr>
                <w:ilvl w:val="0"/>
                <w:numId w:val="155"/>
              </w:num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kritérií na vyhodnotenie ponúk (a váh kritérií) v oznámení o vyhlásení VO, resp. výzve na predkladanie ponúk alebo v súťažných podkladoch</w:t>
            </w:r>
          </w:p>
          <w:p w14:paraId="74A56691" w14:textId="77777777" w:rsidR="0016633D" w:rsidRPr="0016633D" w:rsidRDefault="0016633D" w:rsidP="0016633D">
            <w:pPr>
              <w:numPr>
                <w:ilvl w:val="0"/>
                <w:numId w:val="155"/>
              </w:num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technických špecifikácií predmetu zákazky a zmluvných podmienok v súťažných podkladoch</w:t>
            </w:r>
          </w:p>
          <w:p w14:paraId="085CBD0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68CD05E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alebo</w:t>
            </w:r>
          </w:p>
          <w:p w14:paraId="1C68E7A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7F8CD9D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chýbajúce pravidlá uplatnenia kritérií na vyhodnotenie ponúk, resp. pravidlá uplatnenia kritérií sú upravené nedostatočne, neurčito</w:t>
            </w:r>
          </w:p>
          <w:p w14:paraId="598E394A"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4038B59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alebo</w:t>
            </w:r>
          </w:p>
          <w:p w14:paraId="5A9BE076"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28FEF0F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vysvetlenie alebo doplňujúce informácie k podmienkam účasti alebo kritériám na vyhodnotenie ponúk neboli poskytnuté všetkým záujemcom </w:t>
            </w:r>
            <w:r w:rsidRPr="0016633D">
              <w:rPr>
                <w:rFonts w:ascii="Times New Roman" w:eastAsia="Calibri" w:hAnsi="Times New Roman"/>
                <w:sz w:val="22"/>
                <w:szCs w:val="22"/>
                <w:lang w:val="sk-SK" w:eastAsia="cs-CZ"/>
              </w:rPr>
              <w:lastRenderedPageBreak/>
              <w:t>alebo neboli zverejnené</w:t>
            </w:r>
          </w:p>
          <w:p w14:paraId="576E6B3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421363F6"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 xml:space="preserve">Podmienky účasti a/alebo kritériá na vyhodnotenie ponúk, vrátane </w:t>
            </w:r>
            <w:proofErr w:type="spellStart"/>
            <w:r w:rsidRPr="0016633D">
              <w:rPr>
                <w:rFonts w:ascii="Times New Roman" w:eastAsia="Calibri" w:hAnsi="Times New Roman"/>
                <w:sz w:val="22"/>
                <w:szCs w:val="22"/>
                <w:lang w:val="sk-SK" w:eastAsia="cs-CZ"/>
              </w:rPr>
              <w:t>váhovosti</w:t>
            </w:r>
            <w:proofErr w:type="spellEnd"/>
            <w:r w:rsidRPr="0016633D">
              <w:rPr>
                <w:rFonts w:ascii="Times New Roman" w:eastAsia="Calibri" w:hAnsi="Times New Roman"/>
                <w:sz w:val="22"/>
                <w:szCs w:val="22"/>
                <w:lang w:val="sk-SK" w:eastAsia="cs-CZ"/>
              </w:rPr>
              <w:t xml:space="preserve"> nie sú uvedené v oznámení o vyhlásení VO a/alebo v súťažných podkladoch.</w:t>
            </w:r>
          </w:p>
        </w:tc>
        <w:tc>
          <w:tcPr>
            <w:tcW w:w="2552" w:type="dxa"/>
            <w:shd w:val="clear" w:color="auto" w:fill="auto"/>
          </w:tcPr>
          <w:p w14:paraId="7CEEA57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25%</w:t>
            </w:r>
          </w:p>
          <w:p w14:paraId="6A4DA80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4035105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2FA29CCD" w14:textId="77777777" w:rsidTr="00983D96">
        <w:trPr>
          <w:trHeight w:val="2226"/>
        </w:trPr>
        <w:tc>
          <w:tcPr>
            <w:tcW w:w="675" w:type="dxa"/>
            <w:vMerge/>
            <w:shd w:val="clear" w:color="auto" w:fill="auto"/>
            <w:vAlign w:val="center"/>
          </w:tcPr>
          <w:p w14:paraId="672BD6AF"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17D7E43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505B20B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Oznámenie o vyhlásení VO, ani súťažné podklady neobsahujú technické špecifikácie predmetu zákazky a/alebo zmluvné podmienky.</w:t>
            </w:r>
          </w:p>
          <w:p w14:paraId="53030DA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372FC59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 oznámení o vyhlásení VO a/alebo v súťažných podkladoch absentuje detailný popis kritérií na vyhodnotenie ponúk a/alebo  absentujú pravidlá uplatnenia kritérií na vyhodnotenie ponúk, resp. pravidlá uplatnenia kritérií sú upravené nedostatočne, neurčito.</w:t>
            </w:r>
          </w:p>
          <w:p w14:paraId="3EBB15D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2A4245A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4B77025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10%</w:t>
            </w:r>
          </w:p>
        </w:tc>
      </w:tr>
      <w:tr w:rsidR="0016633D" w:rsidRPr="0016633D" w14:paraId="3C8AFD0E" w14:textId="77777777" w:rsidTr="00983D96">
        <w:trPr>
          <w:trHeight w:val="494"/>
        </w:trPr>
        <w:tc>
          <w:tcPr>
            <w:tcW w:w="675" w:type="dxa"/>
            <w:vMerge w:val="restart"/>
            <w:shd w:val="clear" w:color="auto" w:fill="auto"/>
            <w:vAlign w:val="center"/>
          </w:tcPr>
          <w:p w14:paraId="0C663759"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11</w:t>
            </w:r>
          </w:p>
        </w:tc>
        <w:tc>
          <w:tcPr>
            <w:tcW w:w="3720" w:type="dxa"/>
            <w:vMerge w:val="restart"/>
            <w:shd w:val="clear" w:color="auto" w:fill="auto"/>
          </w:tcPr>
          <w:p w14:paraId="486600C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Nezákonné a/alebo diskriminačné podmienky účasti a/alebo kritéria na vyhodnotenie ponúk a/alebo technické špecifikácie predmetu zákazky stanovené v súťažných pokladoch alebo oznámení o vyhlásení VO/výzve na predkladanie ponúk, ktoré sú založené na neodôvodnenej národnej, regionálnej alebo miestnej preferencii určitých hospodárskych subjektov</w:t>
            </w:r>
          </w:p>
        </w:tc>
        <w:tc>
          <w:tcPr>
            <w:tcW w:w="7087" w:type="dxa"/>
            <w:shd w:val="clear" w:color="auto" w:fill="auto"/>
          </w:tcPr>
          <w:p w14:paraId="0C3811DC"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 </w:t>
            </w:r>
          </w:p>
          <w:p w14:paraId="5E11D04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povinnosť hospodárskych subjektov mať už zriadenú spoločnosť alebo zástupcu v danej krajine, regióne alebo meste/obci alebo</w:t>
            </w:r>
          </w:p>
          <w:p w14:paraId="6C7120B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povinnosť  uchádzača mať skúsenosť v danej krajine, regióne alebo meste/obci alebo</w:t>
            </w:r>
          </w:p>
          <w:p w14:paraId="4B0016C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povinnosť uchádzača disponovať materiálno-technickým vybavením              v danej krajine, regióne alebo meste/obci alebo</w:t>
            </w:r>
          </w:p>
          <w:p w14:paraId="5D764FC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použitie kritérií na vyhodnotenie ponúk, ktoré sú nezákonné a diskriminačné a sú založené na neodôvodnenej národnej, regionálnej alebo miestnej preferencii určitých hospodárskych subjektov.</w:t>
            </w:r>
          </w:p>
          <w:p w14:paraId="1EDF07F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6D42636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25%</w:t>
            </w:r>
          </w:p>
          <w:p w14:paraId="26ED49B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78324B9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09D7F923" w14:textId="77777777" w:rsidTr="00983D96">
        <w:trPr>
          <w:trHeight w:val="994"/>
        </w:trPr>
        <w:tc>
          <w:tcPr>
            <w:tcW w:w="675" w:type="dxa"/>
            <w:vMerge/>
            <w:shd w:val="clear" w:color="auto" w:fill="auto"/>
            <w:vAlign w:val="center"/>
          </w:tcPr>
          <w:p w14:paraId="3B1ADF39"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10F25F1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3D36662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Ide o prípady, ktorých demonštratívny výpočet je uvedený vyššie, ale bol predložený vyšší počet predložených ponúk uchádzačov, ktorí splnili podmienky účasti a požiadavky na predmet zákazky. </w:t>
            </w:r>
          </w:p>
          <w:p w14:paraId="6AF97826"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7F833A6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Vyšší počet predložených ponúk sa posudzuje individuálne.</w:t>
            </w:r>
          </w:p>
        </w:tc>
        <w:tc>
          <w:tcPr>
            <w:tcW w:w="2552" w:type="dxa"/>
            <w:shd w:val="clear" w:color="auto" w:fill="auto"/>
          </w:tcPr>
          <w:p w14:paraId="68651B5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10%</w:t>
            </w:r>
          </w:p>
        </w:tc>
      </w:tr>
      <w:tr w:rsidR="0016633D" w:rsidRPr="0016633D" w14:paraId="2A31D3E3" w14:textId="77777777" w:rsidTr="00983D96">
        <w:trPr>
          <w:trHeight w:val="70"/>
        </w:trPr>
        <w:tc>
          <w:tcPr>
            <w:tcW w:w="675" w:type="dxa"/>
            <w:vMerge w:val="restart"/>
            <w:shd w:val="clear" w:color="auto" w:fill="auto"/>
            <w:vAlign w:val="center"/>
          </w:tcPr>
          <w:p w14:paraId="3D7D5D3A"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12</w:t>
            </w:r>
          </w:p>
        </w:tc>
        <w:tc>
          <w:tcPr>
            <w:tcW w:w="3720" w:type="dxa"/>
            <w:vMerge w:val="restart"/>
            <w:shd w:val="clear" w:color="auto" w:fill="auto"/>
          </w:tcPr>
          <w:p w14:paraId="0D6E45A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Iné nezákonné a/alebo diskriminačné podmienky účasti a/alebo kritéria na vyhodnotenie ponúk a/alebo technické špecifikácie predmetu zákazky stanovené v súťažných pokladoch alebo oznámení o vyhlásení VO/výzve na predkladanie ponúk</w:t>
            </w:r>
          </w:p>
        </w:tc>
        <w:tc>
          <w:tcPr>
            <w:tcW w:w="7087" w:type="dxa"/>
            <w:shd w:val="clear" w:color="auto" w:fill="auto"/>
          </w:tcPr>
          <w:p w14:paraId="5A73BBE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24FBDC97"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6D4A609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určenie minimálnych požiadaviek pre zákazku (týka sa minimálnych požiadaviek pre účely splnenia podmienok účasti, požiadaviek na predmet zákazky alebo kritérií na vyhodnotenie ponúk, ktoré nesúvisia s predmetom zákazky, čím sa nezabezpečí rovnaký prístup pre uchádzačov alebo dané požiadavky vytvárajú neopodstatnené  prekážky k otvorenej hospodárskej súťaži vo verejnom obstarávaní, napr. neprimerané požiadavky viažuce sa k predloženiu zoznamu dodávok tovaru, poskytnutých služieb alebo uskutočnených stavebných prác pre účely splnenia technickej alebo odbornej spôsobilosti.</w:t>
            </w:r>
          </w:p>
          <w:p w14:paraId="5969B6C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4797179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 a uvedené pochybenie sa týka nadlimitných zákaziek.</w:t>
            </w:r>
          </w:p>
          <w:p w14:paraId="0A6FCC87"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7E06090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25%</w:t>
            </w:r>
          </w:p>
          <w:p w14:paraId="4894E49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1311BAA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733183B5" w14:textId="77777777" w:rsidTr="00983D96">
        <w:trPr>
          <w:trHeight w:val="491"/>
        </w:trPr>
        <w:tc>
          <w:tcPr>
            <w:tcW w:w="675" w:type="dxa"/>
            <w:vMerge/>
            <w:shd w:val="clear" w:color="auto" w:fill="auto"/>
            <w:vAlign w:val="center"/>
          </w:tcPr>
          <w:p w14:paraId="549A68AE"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42AEC46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45B1CAE2"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50C118AB" w14:textId="77777777" w:rsidR="0016633D" w:rsidRPr="0016633D" w:rsidRDefault="0016633D" w:rsidP="0016633D">
            <w:pPr>
              <w:numPr>
                <w:ilvl w:val="0"/>
                <w:numId w:val="155"/>
              </w:numPr>
              <w:spacing w:after="200" w:line="276" w:lineRule="auto"/>
              <w:contextualSpacing/>
              <w:jc w:val="both"/>
              <w:rPr>
                <w:rFonts w:ascii="Times New Roman" w:eastAsia="Calibri" w:hAnsi="Times New Roman"/>
                <w:sz w:val="22"/>
                <w:szCs w:val="22"/>
                <w:lang w:val="x-none" w:eastAsia="cs-CZ"/>
              </w:rPr>
            </w:pPr>
            <w:r w:rsidRPr="0016633D">
              <w:rPr>
                <w:rFonts w:ascii="Times New Roman" w:eastAsia="Calibri" w:hAnsi="Times New Roman"/>
                <w:sz w:val="22"/>
                <w:szCs w:val="22"/>
                <w:lang w:val="x-none" w:eastAsia="cs-CZ"/>
              </w:rPr>
              <w:t>určenie minimálnych požiadaviek pre zákazku (týka sa minimálnych požiadaviek pre účely splnenia podmienok účasti, požiadaviek na predmet zákazky alebo kritérií na vyhodnotenie ponúk, ktoré síce súvisia s predmetom zákazky, ale nie sú primerané (napr. neprimeranosť minimálnych požiadaviek pre účely splnenia podmienok účasti s ohľadom na výšku predpokladanej hodnoty zákazky), čím sa nezabezpečí rovnaký prístup pre uchádzačov alebo dané požiadavky vytvárajú neopodstatnené  prekážky k otvorenej hospodárskej súťaži vo verejnom obstarávaní</w:t>
            </w:r>
          </w:p>
          <w:p w14:paraId="1ADC266C" w14:textId="77777777" w:rsidR="0016633D" w:rsidRPr="0016633D" w:rsidRDefault="0016633D" w:rsidP="0016633D">
            <w:pPr>
              <w:spacing w:after="200" w:line="276" w:lineRule="auto"/>
              <w:ind w:left="720"/>
              <w:contextualSpacing/>
              <w:jc w:val="both"/>
              <w:rPr>
                <w:rFonts w:ascii="Times New Roman" w:eastAsia="Calibri" w:hAnsi="Times New Roman"/>
                <w:sz w:val="22"/>
                <w:szCs w:val="22"/>
                <w:lang w:val="x-none" w:eastAsia="cs-CZ"/>
              </w:rPr>
            </w:pPr>
            <w:r w:rsidRPr="0016633D">
              <w:rPr>
                <w:rFonts w:ascii="Times New Roman" w:eastAsia="Calibri" w:hAnsi="Times New Roman"/>
                <w:sz w:val="22"/>
                <w:szCs w:val="22"/>
                <w:lang w:val="x-none" w:eastAsia="cs-CZ"/>
              </w:rPr>
              <w:t>podmienky účasti boli určené ako kritérium na vyhodnotenie ponúk,</w:t>
            </w:r>
          </w:p>
          <w:p w14:paraId="0ABACFF5" w14:textId="77777777" w:rsidR="0016633D" w:rsidRPr="0016633D" w:rsidRDefault="0016633D" w:rsidP="0016633D">
            <w:pPr>
              <w:numPr>
                <w:ilvl w:val="0"/>
                <w:numId w:val="155"/>
              </w:numPr>
              <w:spacing w:after="200" w:line="276" w:lineRule="auto"/>
              <w:contextualSpacing/>
              <w:jc w:val="both"/>
              <w:rPr>
                <w:rFonts w:ascii="Times New Roman" w:eastAsia="Calibri" w:hAnsi="Times New Roman"/>
                <w:sz w:val="22"/>
                <w:szCs w:val="22"/>
                <w:lang w:val="x-none" w:eastAsia="cs-CZ"/>
              </w:rPr>
            </w:pPr>
            <w:r w:rsidRPr="0016633D">
              <w:rPr>
                <w:rFonts w:ascii="Times New Roman" w:eastAsia="Calibri" w:hAnsi="Times New Roman"/>
                <w:sz w:val="22"/>
                <w:szCs w:val="22"/>
                <w:lang w:val="x-none" w:eastAsia="cs-CZ"/>
              </w:rPr>
              <w:t>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 a uvedené pochybenie sa týka iných ako nadlimitných zákaziek</w:t>
            </w:r>
          </w:p>
          <w:p w14:paraId="3BC8B1DC" w14:textId="77777777" w:rsidR="0016633D" w:rsidRPr="0016633D" w:rsidRDefault="0016633D" w:rsidP="0016633D">
            <w:pPr>
              <w:numPr>
                <w:ilvl w:val="0"/>
                <w:numId w:val="155"/>
              </w:numPr>
              <w:spacing w:after="200" w:line="276" w:lineRule="auto"/>
              <w:contextualSpacing/>
              <w:jc w:val="both"/>
              <w:rPr>
                <w:rFonts w:ascii="Times New Roman" w:eastAsia="Calibri" w:hAnsi="Times New Roman"/>
                <w:sz w:val="22"/>
                <w:szCs w:val="22"/>
                <w:lang w:val="x-none" w:eastAsia="cs-CZ"/>
              </w:rPr>
            </w:pPr>
          </w:p>
        </w:tc>
        <w:tc>
          <w:tcPr>
            <w:tcW w:w="2552" w:type="dxa"/>
            <w:shd w:val="clear" w:color="auto" w:fill="auto"/>
          </w:tcPr>
          <w:p w14:paraId="1D5C262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10%</w:t>
            </w:r>
          </w:p>
        </w:tc>
      </w:tr>
      <w:tr w:rsidR="0016633D" w:rsidRPr="0016633D" w14:paraId="2A426D6D" w14:textId="77777777" w:rsidTr="00983D96">
        <w:trPr>
          <w:trHeight w:val="491"/>
        </w:trPr>
        <w:tc>
          <w:tcPr>
            <w:tcW w:w="675" w:type="dxa"/>
            <w:vMerge/>
            <w:shd w:val="clear" w:color="auto" w:fill="auto"/>
            <w:vAlign w:val="center"/>
          </w:tcPr>
          <w:p w14:paraId="4D969E28"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263E317C"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3AFD2A6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Ide o prípady, ktorých demonštratívny výpočet je uvedený vyššie, ale bol predložený vyšší počet predložených ponúk uchádzačov, ktorí splnili podmienky účasti a požiadavky na predmet zákazky. </w:t>
            </w:r>
          </w:p>
          <w:p w14:paraId="1D518346"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5B25C89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Vyšší počet predložených ponúk sa posudzuje individuálne.</w:t>
            </w:r>
          </w:p>
          <w:p w14:paraId="538CBFCA"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59A6830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63FE34F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5%</w:t>
            </w:r>
          </w:p>
        </w:tc>
      </w:tr>
      <w:tr w:rsidR="0016633D" w:rsidRPr="0016633D" w14:paraId="6F97A248" w14:textId="77777777" w:rsidTr="00983D96">
        <w:tc>
          <w:tcPr>
            <w:tcW w:w="675" w:type="dxa"/>
            <w:tcBorders>
              <w:bottom w:val="single" w:sz="4" w:space="0" w:color="auto"/>
            </w:tcBorders>
            <w:shd w:val="clear" w:color="auto" w:fill="auto"/>
            <w:vAlign w:val="center"/>
          </w:tcPr>
          <w:p w14:paraId="516CC0F1"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13</w:t>
            </w:r>
          </w:p>
        </w:tc>
        <w:tc>
          <w:tcPr>
            <w:tcW w:w="3720" w:type="dxa"/>
            <w:tcBorders>
              <w:bottom w:val="single" w:sz="4" w:space="0" w:color="auto"/>
            </w:tcBorders>
            <w:shd w:val="clear" w:color="auto" w:fill="auto"/>
          </w:tcPr>
          <w:p w14:paraId="5432CF4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Nedostatočne opísaný predmet zákazky</w:t>
            </w:r>
            <w:r w:rsidRPr="0016633D">
              <w:rPr>
                <w:rFonts w:ascii="Times New Roman" w:eastAsia="Calibri" w:hAnsi="Times New Roman"/>
                <w:sz w:val="22"/>
                <w:szCs w:val="22"/>
                <w:vertAlign w:val="superscript"/>
                <w:lang w:val="sk-SK" w:eastAsia="cs-CZ"/>
              </w:rPr>
              <w:footnoteReference w:id="9"/>
            </w:r>
          </w:p>
        </w:tc>
        <w:tc>
          <w:tcPr>
            <w:tcW w:w="7087" w:type="dxa"/>
            <w:tcBorders>
              <w:bottom w:val="single" w:sz="4" w:space="0" w:color="auto"/>
            </w:tcBorders>
            <w:shd w:val="clear" w:color="auto" w:fill="auto"/>
          </w:tcPr>
          <w:p w14:paraId="3C473FBF" w14:textId="77777777" w:rsidR="0016633D" w:rsidRPr="0016633D" w:rsidRDefault="0016633D" w:rsidP="0016633D">
            <w:pPr>
              <w:spacing w:after="200" w:line="276" w:lineRule="auto"/>
              <w:jc w:val="both"/>
              <w:rPr>
                <w:rFonts w:ascii="Times New Roman" w:eastAsia="Calibri" w:hAnsi="Times New Roman"/>
                <w:sz w:val="22"/>
                <w:szCs w:val="22"/>
                <w:vertAlign w:val="superscript"/>
                <w:lang w:val="sk-SK" w:eastAsia="cs-CZ"/>
              </w:rPr>
            </w:pPr>
            <w:r w:rsidRPr="0016633D">
              <w:rPr>
                <w:rFonts w:ascii="Times New Roman" w:eastAsia="Calibri" w:hAnsi="Times New Roman"/>
                <w:sz w:val="22"/>
                <w:szCs w:val="22"/>
                <w:lang w:val="sk-SK" w:eastAsia="cs-CZ"/>
              </w:rPr>
              <w:t>Opis predmetu zákazky v súťažných podkladoch je nedostatočný, nejasný, neurčitý, opísaný všeobecne, resp. neobsahuje rozhodujúce informácie pre uchádzačov rozhodné pre prípravu kvalifikovanej ponuky, čo môže ovplyvniť ich rozhodnutie predložiť ponuku/žiadosť o účasť.</w:t>
            </w:r>
            <w:r w:rsidRPr="0016633D">
              <w:rPr>
                <w:rFonts w:ascii="Times New Roman" w:eastAsia="Calibri" w:hAnsi="Times New Roman"/>
                <w:sz w:val="22"/>
                <w:szCs w:val="22"/>
                <w:vertAlign w:val="superscript"/>
                <w:lang w:val="sk-SK" w:eastAsia="cs-CZ"/>
              </w:rPr>
              <w:t xml:space="preserve"> </w:t>
            </w:r>
          </w:p>
          <w:p w14:paraId="1465518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tcBorders>
              <w:bottom w:val="single" w:sz="4" w:space="0" w:color="auto"/>
            </w:tcBorders>
            <w:shd w:val="clear" w:color="auto" w:fill="auto"/>
          </w:tcPr>
          <w:p w14:paraId="0DF4E13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10%</w:t>
            </w:r>
          </w:p>
          <w:p w14:paraId="0671A20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50628BB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59E1E537" w14:textId="77777777" w:rsidTr="00983D96">
        <w:tc>
          <w:tcPr>
            <w:tcW w:w="675" w:type="dxa"/>
            <w:tcBorders>
              <w:bottom w:val="single" w:sz="4" w:space="0" w:color="auto"/>
            </w:tcBorders>
            <w:shd w:val="clear" w:color="auto" w:fill="auto"/>
            <w:vAlign w:val="center"/>
          </w:tcPr>
          <w:p w14:paraId="27398F15"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14</w:t>
            </w:r>
          </w:p>
        </w:tc>
        <w:tc>
          <w:tcPr>
            <w:tcW w:w="3720" w:type="dxa"/>
            <w:tcBorders>
              <w:bottom w:val="single" w:sz="4" w:space="0" w:color="auto"/>
            </w:tcBorders>
            <w:shd w:val="clear" w:color="auto" w:fill="auto"/>
          </w:tcPr>
          <w:p w14:paraId="6632D3E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Obmedzenie možnosti použiť subdodávateľov</w:t>
            </w:r>
          </w:p>
        </w:tc>
        <w:tc>
          <w:tcPr>
            <w:tcW w:w="7087" w:type="dxa"/>
            <w:tcBorders>
              <w:bottom w:val="single" w:sz="4" w:space="0" w:color="auto"/>
            </w:tcBorders>
            <w:shd w:val="clear" w:color="auto" w:fill="auto"/>
          </w:tcPr>
          <w:p w14:paraId="46F7EC0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3026C1B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5%</w:t>
            </w:r>
          </w:p>
        </w:tc>
      </w:tr>
      <w:tr w:rsidR="0016633D" w:rsidRPr="0016633D" w14:paraId="691ACB8C" w14:textId="77777777" w:rsidTr="00983D96">
        <w:tc>
          <w:tcPr>
            <w:tcW w:w="675" w:type="dxa"/>
            <w:tcBorders>
              <w:bottom w:val="single" w:sz="4" w:space="0" w:color="auto"/>
            </w:tcBorders>
            <w:shd w:val="clear" w:color="auto" w:fill="auto"/>
            <w:vAlign w:val="center"/>
          </w:tcPr>
          <w:p w14:paraId="4A234C1E"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15</w:t>
            </w:r>
          </w:p>
        </w:tc>
        <w:tc>
          <w:tcPr>
            <w:tcW w:w="3720" w:type="dxa"/>
            <w:tcBorders>
              <w:bottom w:val="single" w:sz="4" w:space="0" w:color="auto"/>
            </w:tcBorders>
            <w:shd w:val="clear" w:color="auto" w:fill="auto"/>
          </w:tcPr>
          <w:p w14:paraId="472BEC4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Porušenie povinnosti zadávať podlimitnú zákazku na nákup tovarov, alebo služieb, ktorých predmetom nie je intelektuálne plnenie, bežne dostupných na trhu, prostredníctvom elektronického trhoviska</w:t>
            </w:r>
          </w:p>
        </w:tc>
        <w:tc>
          <w:tcPr>
            <w:tcW w:w="7087" w:type="dxa"/>
            <w:tcBorders>
              <w:bottom w:val="single" w:sz="4" w:space="0" w:color="auto"/>
            </w:tcBorders>
            <w:shd w:val="clear" w:color="auto" w:fill="auto"/>
          </w:tcPr>
          <w:p w14:paraId="7B13F6F1" w14:textId="77777777" w:rsidR="0016633D" w:rsidRPr="0016633D" w:rsidRDefault="0016633D" w:rsidP="0016633D">
            <w:pPr>
              <w:spacing w:after="200" w:line="276" w:lineRule="auto"/>
              <w:jc w:val="both"/>
              <w:rPr>
                <w:rFonts w:ascii="Times New Roman" w:eastAsia="Calibri" w:hAnsi="Times New Roman"/>
                <w:sz w:val="22"/>
                <w:szCs w:val="22"/>
                <w:lang w:val="sk-SK"/>
              </w:rPr>
            </w:pPr>
            <w:r w:rsidRPr="0016633D">
              <w:rPr>
                <w:rFonts w:ascii="Times New Roman" w:eastAsia="Calibri" w:hAnsi="Times New Roman"/>
                <w:sz w:val="22"/>
                <w:szCs w:val="22"/>
                <w:lang w:val="sk-SK" w:eastAsia="cs-CZ"/>
              </w:rPr>
              <w:t>Verejný obstarávateľ nepostupoval podlimitným postupom s využitím elektronického trhoviska</w:t>
            </w:r>
            <w:r w:rsidRPr="0016633D">
              <w:rPr>
                <w:rFonts w:ascii="Times New Roman" w:eastAsia="Calibri" w:hAnsi="Times New Roman"/>
                <w:sz w:val="22"/>
                <w:szCs w:val="22"/>
                <w:lang w:val="sk-SK"/>
              </w:rPr>
              <w:t>, ak ide o dodanie tovaru, alebo poskytnutie služieb, ktoré nie sú intelektuálnej povahy, bežne dostupných na trhu, ale na obstarávanie použil postup zadávania zákazky s nízkou hodnotou alebo podlimitný postup bez využitia elektronického trhoviska (týka sa zákaziek, ktoré boli vyhlásené do 1.11.2017)</w:t>
            </w:r>
          </w:p>
          <w:p w14:paraId="47F580A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tcBorders>
              <w:bottom w:val="single" w:sz="4" w:space="0" w:color="auto"/>
            </w:tcBorders>
            <w:shd w:val="clear" w:color="auto" w:fill="auto"/>
          </w:tcPr>
          <w:p w14:paraId="3054446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5%</w:t>
            </w:r>
          </w:p>
          <w:p w14:paraId="2BD0174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38B3434A" w14:textId="77777777" w:rsidTr="00983D96">
        <w:trPr>
          <w:trHeight w:val="1369"/>
        </w:trPr>
        <w:tc>
          <w:tcPr>
            <w:tcW w:w="675" w:type="dxa"/>
            <w:vMerge w:val="restart"/>
            <w:shd w:val="clear" w:color="auto" w:fill="auto"/>
          </w:tcPr>
          <w:p w14:paraId="43FFAD40"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42A63F99"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7EE2B821"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rPr>
              <w:t>16</w:t>
            </w:r>
          </w:p>
        </w:tc>
        <w:tc>
          <w:tcPr>
            <w:tcW w:w="3720" w:type="dxa"/>
            <w:vMerge w:val="restart"/>
            <w:shd w:val="clear" w:color="auto" w:fill="auto"/>
          </w:tcPr>
          <w:p w14:paraId="5ABECB3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6487C9BC"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485324B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rPr>
              <w:t xml:space="preserve">10% </w:t>
            </w:r>
          </w:p>
        </w:tc>
      </w:tr>
      <w:tr w:rsidR="0016633D" w:rsidRPr="0016633D" w14:paraId="0B936680" w14:textId="77777777" w:rsidTr="00983D96">
        <w:trPr>
          <w:trHeight w:val="2748"/>
        </w:trPr>
        <w:tc>
          <w:tcPr>
            <w:tcW w:w="675" w:type="dxa"/>
            <w:vMerge/>
            <w:shd w:val="clear" w:color="auto" w:fill="auto"/>
          </w:tcPr>
          <w:p w14:paraId="50292F12" w14:textId="77777777" w:rsidR="0016633D" w:rsidRPr="0016633D" w:rsidRDefault="0016633D" w:rsidP="0016633D">
            <w:pPr>
              <w:spacing w:after="200" w:line="276" w:lineRule="auto"/>
              <w:jc w:val="center"/>
              <w:rPr>
                <w:rFonts w:ascii="Times New Roman" w:eastAsia="Calibri" w:hAnsi="Times New Roman"/>
                <w:sz w:val="22"/>
                <w:szCs w:val="22"/>
                <w:lang w:val="sk-SK"/>
              </w:rPr>
            </w:pPr>
          </w:p>
        </w:tc>
        <w:tc>
          <w:tcPr>
            <w:tcW w:w="3720" w:type="dxa"/>
            <w:vMerge/>
            <w:shd w:val="clear" w:color="auto" w:fill="auto"/>
          </w:tcPr>
          <w:p w14:paraId="56FFA06D" w14:textId="77777777" w:rsidR="0016633D" w:rsidRPr="0016633D" w:rsidRDefault="0016633D" w:rsidP="0016633D">
            <w:pPr>
              <w:spacing w:after="200" w:line="276" w:lineRule="auto"/>
              <w:jc w:val="both"/>
              <w:rPr>
                <w:rFonts w:ascii="Times New Roman" w:eastAsia="Calibri" w:hAnsi="Times New Roman"/>
                <w:sz w:val="22"/>
                <w:szCs w:val="22"/>
                <w:lang w:val="sk-SK"/>
              </w:rPr>
            </w:pPr>
          </w:p>
        </w:tc>
        <w:tc>
          <w:tcPr>
            <w:tcW w:w="7087" w:type="dxa"/>
            <w:shd w:val="clear" w:color="auto" w:fill="auto"/>
          </w:tcPr>
          <w:p w14:paraId="27BA5C1A" w14:textId="77777777" w:rsidR="0016633D" w:rsidRPr="0016633D" w:rsidRDefault="0016633D" w:rsidP="0016633D">
            <w:pPr>
              <w:spacing w:after="200" w:line="276" w:lineRule="auto"/>
              <w:jc w:val="both"/>
              <w:rPr>
                <w:rFonts w:ascii="Times New Roman" w:eastAsia="Calibri" w:hAnsi="Times New Roman"/>
                <w:sz w:val="22"/>
                <w:szCs w:val="22"/>
                <w:lang w:val="sk-SK"/>
              </w:rPr>
            </w:pPr>
            <w:r w:rsidRPr="0016633D">
              <w:rPr>
                <w:rFonts w:ascii="Times New Roman" w:eastAsia="Calibri" w:hAnsi="Times New Roman"/>
                <w:sz w:val="22"/>
                <w:szCs w:val="22"/>
                <w:lang w:val="sk-SK"/>
              </w:rPr>
              <w:t>Verejný obstarávateľ postupoval v rozpore s ustanovením § 108 ods. 1 písm. a) ZVO, keď zákazky na nie bežne dostupné tovary zadával s využitím elektronického trhoviska, resp. v rozpore s § 58 ods. 1 ZVO, keď na nie bežne dostupné tovary využil dynamický nákupný systém (pozn. bežná dostupnosť vo vzťahu k zákazkám na dodanie tovaru nie je upravená výkladovým stanoviskom ÚVO, z uvedeného dôvodu je náročnejšie posúdiť otázku bežnej dostupnosti).</w:t>
            </w:r>
          </w:p>
          <w:p w14:paraId="336C1781" w14:textId="77777777" w:rsidR="0016633D" w:rsidRPr="0016633D" w:rsidRDefault="0016633D" w:rsidP="0016633D">
            <w:pPr>
              <w:spacing w:after="200" w:line="276" w:lineRule="auto"/>
              <w:jc w:val="both"/>
              <w:rPr>
                <w:rFonts w:ascii="Times New Roman" w:eastAsia="Calibri" w:hAnsi="Times New Roman"/>
                <w:sz w:val="22"/>
                <w:szCs w:val="22"/>
                <w:lang w:val="sk-SK"/>
              </w:rPr>
            </w:pPr>
          </w:p>
          <w:p w14:paraId="54CE8355" w14:textId="77777777" w:rsidR="0016633D" w:rsidRPr="0016633D" w:rsidRDefault="0016633D" w:rsidP="0016633D">
            <w:pPr>
              <w:spacing w:after="200" w:line="276" w:lineRule="auto"/>
              <w:jc w:val="both"/>
              <w:rPr>
                <w:rFonts w:ascii="Times New Roman" w:eastAsia="Calibri" w:hAnsi="Times New Roman"/>
                <w:sz w:val="22"/>
                <w:szCs w:val="22"/>
                <w:lang w:val="sk-SK"/>
              </w:rPr>
            </w:pPr>
            <w:r w:rsidRPr="0016633D">
              <w:rPr>
                <w:rFonts w:ascii="Times New Roman" w:eastAsia="Calibri" w:hAnsi="Times New Roman"/>
                <w:sz w:val="22"/>
                <w:szCs w:val="22"/>
                <w:lang w:val="sk-SK"/>
              </w:rPr>
              <w:t>Nižšia sadzba finančnej opravy sa uplatní v prípade, ak bol predložený vyšší počet predložených ponúk uchádzačov. Vyšší počet predložených ponúk sa posudzuje individuálne s ohľadom na predmet zákazky.</w:t>
            </w:r>
          </w:p>
        </w:tc>
        <w:tc>
          <w:tcPr>
            <w:tcW w:w="2552" w:type="dxa"/>
            <w:shd w:val="clear" w:color="auto" w:fill="auto"/>
          </w:tcPr>
          <w:p w14:paraId="11913B0F" w14:textId="77777777" w:rsidR="0016633D" w:rsidRPr="0016633D" w:rsidRDefault="0016633D" w:rsidP="0016633D">
            <w:pPr>
              <w:spacing w:after="200" w:line="276" w:lineRule="auto"/>
              <w:jc w:val="both"/>
              <w:rPr>
                <w:rFonts w:ascii="Times New Roman" w:eastAsia="Calibri" w:hAnsi="Times New Roman"/>
                <w:sz w:val="22"/>
                <w:szCs w:val="22"/>
                <w:lang w:val="sk-SK"/>
              </w:rPr>
            </w:pPr>
            <w:r w:rsidRPr="0016633D">
              <w:rPr>
                <w:rFonts w:ascii="Times New Roman" w:eastAsia="Calibri" w:hAnsi="Times New Roman"/>
                <w:sz w:val="22"/>
                <w:szCs w:val="22"/>
                <w:lang w:val="sk-SK"/>
              </w:rPr>
              <w:t xml:space="preserve">5% </w:t>
            </w:r>
          </w:p>
        </w:tc>
      </w:tr>
      <w:tr w:rsidR="0016633D" w:rsidRPr="0016633D" w14:paraId="68A795A1" w14:textId="77777777" w:rsidTr="00983D96">
        <w:trPr>
          <w:trHeight w:val="5970"/>
        </w:trPr>
        <w:tc>
          <w:tcPr>
            <w:tcW w:w="675" w:type="dxa"/>
            <w:shd w:val="clear" w:color="auto" w:fill="auto"/>
          </w:tcPr>
          <w:p w14:paraId="30CFEAE2"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3372A44A"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50156999"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6080EDB1"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4D2B9AB5"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1CDAF1D0"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167B8D29"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1CE31425"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4E889666"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68FEA16B"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0B8361F6"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rPr>
              <w:t>17</w:t>
            </w:r>
          </w:p>
        </w:tc>
        <w:tc>
          <w:tcPr>
            <w:tcW w:w="3720" w:type="dxa"/>
            <w:vMerge w:val="restart"/>
            <w:shd w:val="clear" w:color="auto" w:fill="auto"/>
          </w:tcPr>
          <w:p w14:paraId="4A51D6E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rPr>
              <w:t>Nezaslanie výzvy na predkladanie ponúk alebo neidentifikovanie minimálne troch vybraných záujemcov/potenciálnych dodávateľov, ktorí sú oprávnení dodať predmet zákazky, v prípade zákazky s nízkou hodnotou alebo zákazky zadávanej osobou, ktorej verejný obstarávateľ poskytne 50% a menej finančných prostriedkov na dodanie tovaru, uskutočnenie stavebných prác a poskytnutie služieb z NFP, ak prijímateľ nezverejnil výzvu na predkladanie ponúk na svojom webovom sídle a informáciu o zverejnení nezaslal na mailový kontakt zakazkycko@vlada.gov.sk</w:t>
            </w:r>
          </w:p>
        </w:tc>
        <w:tc>
          <w:tcPr>
            <w:tcW w:w="7087" w:type="dxa"/>
            <w:shd w:val="clear" w:color="auto" w:fill="auto"/>
          </w:tcPr>
          <w:p w14:paraId="40AE797E" w14:textId="77777777" w:rsidR="0016633D" w:rsidRPr="0016633D" w:rsidRDefault="0016633D" w:rsidP="0016633D">
            <w:pPr>
              <w:spacing w:after="200" w:line="276" w:lineRule="auto"/>
              <w:jc w:val="both"/>
              <w:rPr>
                <w:rFonts w:ascii="Times New Roman" w:eastAsia="Calibri" w:hAnsi="Times New Roman"/>
                <w:sz w:val="22"/>
                <w:szCs w:val="22"/>
                <w:lang w:val="sk-SK"/>
              </w:rPr>
            </w:pPr>
            <w:r w:rsidRPr="0016633D">
              <w:rPr>
                <w:rFonts w:ascii="Times New Roman" w:eastAsia="Calibri" w:hAnsi="Times New Roman"/>
                <w:sz w:val="22"/>
                <w:szCs w:val="22"/>
                <w:lang w:val="sk-SK"/>
              </w:rPr>
              <w:t>Prijímateľ (verejný obstarávateľ) nezaslal výzvu na predkladanie ponúk minimálne trom vybraným záujemcom v prípade zákaziek s nízkou hodnotou, resp. neidentifikoval minimálne troch potenciálnych dodávateľov (napr. cez webové rozhranie) a nezverejnil výzvu na predkladanie ponúk na svojom webovom sídle a informáciu o zverejnení nezaslal na mailový kontakt zakazkycko@vlada.gov.sk</w:t>
            </w:r>
          </w:p>
          <w:p w14:paraId="0077B03E" w14:textId="77777777" w:rsidR="0016633D" w:rsidRPr="0016633D" w:rsidRDefault="0016633D" w:rsidP="0016633D">
            <w:pPr>
              <w:spacing w:after="200" w:line="276" w:lineRule="auto"/>
              <w:jc w:val="both"/>
              <w:rPr>
                <w:rFonts w:ascii="Times New Roman" w:eastAsia="Calibri" w:hAnsi="Times New Roman"/>
                <w:sz w:val="22"/>
                <w:szCs w:val="22"/>
                <w:lang w:val="sk-SK"/>
              </w:rPr>
            </w:pPr>
          </w:p>
          <w:p w14:paraId="0AB0E95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  v prípade tohto typu zákaziek, resp. neidentifikoval minimálne troch potenciálnych dodávateľov (napr. cez webové rozhranie) a nezverejnil výzvu na predkladanie ponúk na svojom webovom sídle a informáciu o zverejnení nezaslal na mailový kontakt zakazkycko@vlada.gov.sk</w:t>
            </w:r>
          </w:p>
          <w:p w14:paraId="3FF50FB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3767D12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24CFB137"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4ECE61F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5E9162E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0A8B07EA"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12BB5C0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25%</w:t>
            </w:r>
          </w:p>
          <w:p w14:paraId="38C5241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7E0794F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03EAFAE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5D09C7BF" w14:textId="77777777" w:rsidTr="00983D96">
        <w:trPr>
          <w:trHeight w:val="1307"/>
        </w:trPr>
        <w:tc>
          <w:tcPr>
            <w:tcW w:w="675" w:type="dxa"/>
            <w:shd w:val="clear" w:color="auto" w:fill="auto"/>
          </w:tcPr>
          <w:p w14:paraId="0024200D" w14:textId="77777777" w:rsidR="0016633D" w:rsidRPr="0016633D" w:rsidRDefault="0016633D" w:rsidP="0016633D">
            <w:pPr>
              <w:spacing w:after="200" w:line="276" w:lineRule="auto"/>
              <w:jc w:val="center"/>
              <w:rPr>
                <w:rFonts w:ascii="Times New Roman" w:eastAsia="Calibri" w:hAnsi="Times New Roman"/>
                <w:sz w:val="22"/>
                <w:szCs w:val="22"/>
                <w:lang w:val="sk-SK"/>
              </w:rPr>
            </w:pPr>
          </w:p>
        </w:tc>
        <w:tc>
          <w:tcPr>
            <w:tcW w:w="3720" w:type="dxa"/>
            <w:vMerge/>
            <w:shd w:val="clear" w:color="auto" w:fill="auto"/>
          </w:tcPr>
          <w:p w14:paraId="04EE4F0B" w14:textId="77777777" w:rsidR="0016633D" w:rsidRPr="0016633D" w:rsidRDefault="0016633D" w:rsidP="0016633D">
            <w:pPr>
              <w:spacing w:after="200" w:line="276" w:lineRule="auto"/>
              <w:jc w:val="both"/>
              <w:rPr>
                <w:rFonts w:ascii="Times New Roman" w:eastAsia="Calibri" w:hAnsi="Times New Roman"/>
                <w:sz w:val="22"/>
                <w:szCs w:val="22"/>
                <w:lang w:val="sk-SK"/>
              </w:rPr>
            </w:pPr>
          </w:p>
        </w:tc>
        <w:tc>
          <w:tcPr>
            <w:tcW w:w="7087" w:type="dxa"/>
            <w:shd w:val="clear" w:color="auto" w:fill="auto"/>
          </w:tcPr>
          <w:p w14:paraId="455B14F1" w14:textId="77777777" w:rsidR="0016633D" w:rsidRPr="0016633D" w:rsidRDefault="0016633D" w:rsidP="0016633D">
            <w:pPr>
              <w:spacing w:after="200" w:line="276" w:lineRule="auto"/>
              <w:jc w:val="both"/>
              <w:rPr>
                <w:rFonts w:ascii="Times New Roman" w:eastAsia="Calibri" w:hAnsi="Times New Roman"/>
                <w:sz w:val="22"/>
                <w:szCs w:val="22"/>
                <w:lang w:val="sk-SK"/>
              </w:rPr>
            </w:pPr>
            <w:r w:rsidRPr="0016633D">
              <w:rPr>
                <w:rFonts w:ascii="Times New Roman" w:eastAsia="Calibri" w:hAnsi="Times New Roman"/>
                <w:sz w:val="22"/>
                <w:szCs w:val="22"/>
                <w:lang w:val="sk-SK"/>
              </w:rPr>
              <w:t>Finančná oprava sa uplatní v tých prípadoch, ak prijímateľ oslovil s výzvou na predkladanie ponúk, resp. identifikoval (napr. cez webové rozhranie) iba dvoch vybraných záujemcov, pričom na relevantnom trhu bolo možné osloviť/identifikovať min. troch záujemcov.</w:t>
            </w:r>
          </w:p>
        </w:tc>
        <w:tc>
          <w:tcPr>
            <w:tcW w:w="2552" w:type="dxa"/>
            <w:shd w:val="clear" w:color="auto" w:fill="auto"/>
          </w:tcPr>
          <w:p w14:paraId="523F2F6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10%</w:t>
            </w:r>
          </w:p>
        </w:tc>
      </w:tr>
      <w:tr w:rsidR="0016633D" w:rsidRPr="0016633D" w14:paraId="6329E366" w14:textId="77777777" w:rsidTr="00983D96">
        <w:tc>
          <w:tcPr>
            <w:tcW w:w="14034" w:type="dxa"/>
            <w:gridSpan w:val="4"/>
            <w:shd w:val="clear" w:color="auto" w:fill="BFBFBF"/>
            <w:vAlign w:val="center"/>
          </w:tcPr>
          <w:p w14:paraId="5B40E1F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b/>
                <w:sz w:val="22"/>
                <w:szCs w:val="22"/>
                <w:lang w:val="sk-SK" w:eastAsia="cs-CZ"/>
              </w:rPr>
              <w:t>Vyhodnocovanie ponúk/žiadostí o účasť</w:t>
            </w:r>
          </w:p>
        </w:tc>
      </w:tr>
      <w:tr w:rsidR="0016633D" w:rsidRPr="0016633D" w14:paraId="25C6FF98" w14:textId="77777777" w:rsidTr="00983D96">
        <w:tc>
          <w:tcPr>
            <w:tcW w:w="675" w:type="dxa"/>
            <w:shd w:val="clear" w:color="auto" w:fill="auto"/>
            <w:vAlign w:val="center"/>
          </w:tcPr>
          <w:p w14:paraId="5905A701"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18</w:t>
            </w:r>
          </w:p>
        </w:tc>
        <w:tc>
          <w:tcPr>
            <w:tcW w:w="3720" w:type="dxa"/>
            <w:shd w:val="clear" w:color="auto" w:fill="auto"/>
          </w:tcPr>
          <w:p w14:paraId="48E4C13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Podmienky účasti alebo požiadavky na predmet zákazky (technické špecifikácie) boli upravené po otvorení </w:t>
            </w:r>
            <w:r w:rsidRPr="0016633D">
              <w:rPr>
                <w:rFonts w:ascii="Times New Roman" w:eastAsia="Calibri" w:hAnsi="Times New Roman"/>
                <w:sz w:val="22"/>
                <w:szCs w:val="22"/>
                <w:lang w:val="sk-SK" w:eastAsia="cs-CZ"/>
              </w:rPr>
              <w:lastRenderedPageBreak/>
              <w:t xml:space="preserve">ponúk/žiadostí o účasť </w:t>
            </w:r>
          </w:p>
          <w:p w14:paraId="0AD5D58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486DF88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alebo </w:t>
            </w:r>
          </w:p>
          <w:p w14:paraId="3DE54F3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211D56A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Podmienky účasti alebo požiadavky na predmet zákazky (technické špecifikácie) boli vyhodnotené v rozpore s oznámením o vyhlásení verejného obstarávania/výzvou na predkladanie ponúk a súťažnými podkladmi</w:t>
            </w:r>
          </w:p>
        </w:tc>
        <w:tc>
          <w:tcPr>
            <w:tcW w:w="7087" w:type="dxa"/>
            <w:shd w:val="clear" w:color="auto" w:fill="auto"/>
          </w:tcPr>
          <w:p w14:paraId="7D917AA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Podmienky účasti alebo požiadavky na predmet zákazky (technické špecifikácie) boli upravené počas vyhodnotenia ponúk/žiadostí o účasť, čo malo za následok prijatie ponúk/žiadostí o účasť uchádzačov/záujemcov, ktorých ponuky by neboli  prijaté alebo vylúčenie</w:t>
            </w:r>
            <w:r w:rsidRPr="0016633D">
              <w:rPr>
                <w:rFonts w:ascii="Times New Roman" w:eastAsia="Calibri" w:hAnsi="Times New Roman"/>
                <w:sz w:val="22"/>
                <w:szCs w:val="22"/>
                <w:lang w:val="sk-SK"/>
              </w:rPr>
              <w:t xml:space="preserve"> </w:t>
            </w:r>
            <w:r w:rsidRPr="0016633D">
              <w:rPr>
                <w:rFonts w:ascii="Times New Roman" w:eastAsia="Calibri" w:hAnsi="Times New Roman"/>
                <w:sz w:val="22"/>
                <w:szCs w:val="22"/>
                <w:lang w:val="sk-SK" w:eastAsia="cs-CZ"/>
              </w:rPr>
              <w:t xml:space="preserve">uchádzačov/záujemcov, </w:t>
            </w:r>
            <w:r w:rsidRPr="0016633D">
              <w:rPr>
                <w:rFonts w:ascii="Times New Roman" w:eastAsia="Calibri" w:hAnsi="Times New Roman"/>
                <w:sz w:val="22"/>
                <w:szCs w:val="22"/>
                <w:lang w:val="sk-SK" w:eastAsia="cs-CZ"/>
              </w:rPr>
              <w:lastRenderedPageBreak/>
              <w:t>ktorých ponuka by bola prijatá, ak by sa postupovalo podľa zverejnených podmienok účasti alebo požiadaviek na predmet zákazky.</w:t>
            </w:r>
          </w:p>
          <w:p w14:paraId="511AADBC"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0787DC2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Podmienky účasti alebo požiadavky na predmet zákazky (technické špecifikácie) boli vyhodnotené v rozpore s oznámením o vyhlásení verejného obstarávania/výzvou na predkladanie ponúk a súťažnými podkladmi,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215189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25%</w:t>
            </w:r>
          </w:p>
          <w:p w14:paraId="7E5C0AB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2C14672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009E325F" w14:textId="77777777" w:rsidTr="00983D96">
        <w:trPr>
          <w:trHeight w:val="1520"/>
        </w:trPr>
        <w:tc>
          <w:tcPr>
            <w:tcW w:w="675" w:type="dxa"/>
            <w:vMerge w:val="restart"/>
            <w:shd w:val="clear" w:color="auto" w:fill="auto"/>
            <w:vAlign w:val="center"/>
          </w:tcPr>
          <w:p w14:paraId="5E482051"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19</w:t>
            </w:r>
          </w:p>
        </w:tc>
        <w:tc>
          <w:tcPr>
            <w:tcW w:w="3720" w:type="dxa"/>
            <w:vMerge w:val="restart"/>
            <w:shd w:val="clear" w:color="auto" w:fill="auto"/>
          </w:tcPr>
          <w:p w14:paraId="100CA2D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Vyhodnocovanie ponúk uchádzačov v rozpore s kritériami na vyhodnotenie ponúk/kritériami na výber obmedzeného počtu záujemcov v užšej súťaži a pravidlami na ich uplatnenie,</w:t>
            </w:r>
            <w:r w:rsidRPr="0016633D">
              <w:rPr>
                <w:rFonts w:ascii="Times New Roman" w:eastAsia="Calibri" w:hAnsi="Times New Roman"/>
                <w:sz w:val="22"/>
                <w:szCs w:val="22"/>
                <w:lang w:val="sk-SK"/>
              </w:rPr>
              <w:t xml:space="preserve"> </w:t>
            </w:r>
            <w:r w:rsidRPr="0016633D">
              <w:rPr>
                <w:rFonts w:ascii="Times New Roman" w:eastAsia="Calibri" w:hAnsi="Times New Roman"/>
                <w:sz w:val="22"/>
                <w:szCs w:val="22"/>
                <w:lang w:val="sk-SK" w:eastAsia="cs-CZ"/>
              </w:rPr>
              <w:t>ktoré boli zverejnené v oznámení o vyhlásení verejného obstarávania/výzve na predkladanie ponúk a súťažných podkladoch</w:t>
            </w:r>
          </w:p>
          <w:p w14:paraId="4FCEC1C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49EDD72C"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alebo </w:t>
            </w:r>
          </w:p>
          <w:p w14:paraId="44649CE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62E5508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Vyhodnocovanie ponúk uchádzačov 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124ED40A"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16633D">
              <w:rPr>
                <w:rFonts w:ascii="Times New Roman" w:eastAsia="Calibri" w:hAnsi="Times New Roman"/>
                <w:sz w:val="22"/>
                <w:szCs w:val="22"/>
                <w:lang w:val="sk-SK" w:eastAsia="cs-CZ"/>
              </w:rPr>
              <w:t>podkritériá</w:t>
            </w:r>
            <w:proofErr w:type="spellEnd"/>
            <w:r w:rsidRPr="0016633D">
              <w:rPr>
                <w:rFonts w:ascii="Times New Roman" w:eastAsia="Calibri" w:hAnsi="Times New Roman"/>
                <w:sz w:val="22"/>
                <w:szCs w:val="22"/>
                <w:lang w:val="sk-SK"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75292F5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48090C4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p w14:paraId="1E297962"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382259C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Finančná oprava 25 % sa uplatní, ak vyššie uvedené nedostatky mali diskriminačný charakter založený na národnej, regionálnej alebo miestnej preferencii určitých hospodárskych subjektov.</w:t>
            </w:r>
            <w:r w:rsidRPr="0016633D" w:rsidDel="00D41BDF">
              <w:rPr>
                <w:rFonts w:ascii="Times New Roman" w:eastAsia="Calibri" w:hAnsi="Times New Roman"/>
                <w:sz w:val="22"/>
                <w:szCs w:val="22"/>
                <w:lang w:val="sk-SK" w:eastAsia="cs-CZ"/>
              </w:rPr>
              <w:t xml:space="preserve"> </w:t>
            </w:r>
          </w:p>
          <w:p w14:paraId="18DBE5F7"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4711FC1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25%</w:t>
            </w:r>
          </w:p>
          <w:p w14:paraId="17FFC8A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4AC19C8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2BB290F1" w14:textId="77777777" w:rsidTr="00983D96">
        <w:trPr>
          <w:trHeight w:val="726"/>
        </w:trPr>
        <w:tc>
          <w:tcPr>
            <w:tcW w:w="675" w:type="dxa"/>
            <w:vMerge/>
            <w:shd w:val="clear" w:color="auto" w:fill="auto"/>
            <w:vAlign w:val="center"/>
          </w:tcPr>
          <w:p w14:paraId="4FFF25C0"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0A581C4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7141B9D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16633D">
              <w:rPr>
                <w:rFonts w:ascii="Times New Roman" w:eastAsia="Calibri" w:hAnsi="Times New Roman"/>
                <w:sz w:val="22"/>
                <w:szCs w:val="22"/>
                <w:lang w:val="sk-SK" w:eastAsia="cs-CZ"/>
              </w:rPr>
              <w:t>podkritériá</w:t>
            </w:r>
            <w:proofErr w:type="spellEnd"/>
            <w:r w:rsidRPr="0016633D">
              <w:rPr>
                <w:rFonts w:ascii="Times New Roman" w:eastAsia="Calibri" w:hAnsi="Times New Roman"/>
                <w:sz w:val="22"/>
                <w:szCs w:val="22"/>
                <w:lang w:val="sk-SK"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0182619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01E6AF9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09EB874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10%</w:t>
            </w:r>
          </w:p>
        </w:tc>
      </w:tr>
      <w:tr w:rsidR="0016633D" w:rsidRPr="0016633D" w14:paraId="7566AEB9" w14:textId="77777777" w:rsidTr="00983D96">
        <w:trPr>
          <w:trHeight w:val="3536"/>
        </w:trPr>
        <w:tc>
          <w:tcPr>
            <w:tcW w:w="675" w:type="dxa"/>
            <w:shd w:val="clear" w:color="auto" w:fill="auto"/>
            <w:vAlign w:val="center"/>
          </w:tcPr>
          <w:p w14:paraId="7C6F3154"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20</w:t>
            </w:r>
          </w:p>
        </w:tc>
        <w:tc>
          <w:tcPr>
            <w:tcW w:w="3720" w:type="dxa"/>
            <w:shd w:val="clear" w:color="auto" w:fill="auto"/>
          </w:tcPr>
          <w:p w14:paraId="50C46B0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Nedodržiavanie zásady transparentnosti a/alebo rovnakého zaobchádzania počas postupu zadávania zákazky (tento typ porušenia je možné uplatniť iba v prípade, ak identifikované zistenia nie je možné ani na základe analógie a proporcionality priradiť k iným typom porušenia podľa tejto prílohy č. 1)</w:t>
            </w:r>
          </w:p>
          <w:p w14:paraId="1A4C0EE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72E5197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5A100BF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Napr. nepožiadanie uchádzača/ záujemcu o vysvetlenie dokladov preukazujúcich splnenie podmienok účasti, ak z predložených dokladov nemožno posúdiť ich platnosť alebo splnenie podmienky účasti.</w:t>
            </w:r>
          </w:p>
          <w:p w14:paraId="34A7825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1940BA6C"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Nepožiadanie uchádzača o vysvetlenie ponuky, z ktorej nie je zrejmé splnenie požiadaviek na predmet zákazky alebo nepožiadanie uchádzača o vysvetlenie mimoriadne nízkej ponuky.</w:t>
            </w:r>
          </w:p>
          <w:p w14:paraId="633C812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2333665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Umožnenie obhliadky miesta na dodanie predmetu zákazky iba niektorým záujemcom.</w:t>
            </w:r>
          </w:p>
          <w:p w14:paraId="05E937A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5F07B4D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Nezaslanie oznámenia o výsledku vyhodnotenia ponúk niektorým záujemcom, ktorí boli vyhodnotení ako neúspešní.</w:t>
            </w:r>
          </w:p>
          <w:p w14:paraId="45B0788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1E0D0BF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25%</w:t>
            </w:r>
          </w:p>
          <w:p w14:paraId="7590E7A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53140B92"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finančná oprava môže byť znížená na 10% alebo            5% v závislosti od závažnosti porušenia.</w:t>
            </w:r>
          </w:p>
          <w:p w14:paraId="430CBD7A"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5ACDB83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2120764A"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3B413965" w14:textId="77777777" w:rsidTr="00983D96">
        <w:trPr>
          <w:trHeight w:val="383"/>
        </w:trPr>
        <w:tc>
          <w:tcPr>
            <w:tcW w:w="675" w:type="dxa"/>
            <w:vMerge w:val="restart"/>
            <w:shd w:val="clear" w:color="auto" w:fill="auto"/>
            <w:vAlign w:val="center"/>
          </w:tcPr>
          <w:p w14:paraId="7F49F819"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21</w:t>
            </w:r>
          </w:p>
        </w:tc>
        <w:tc>
          <w:tcPr>
            <w:tcW w:w="3720" w:type="dxa"/>
            <w:vMerge w:val="restart"/>
            <w:shd w:val="clear" w:color="auto" w:fill="auto"/>
          </w:tcPr>
          <w:p w14:paraId="53BFD1E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Nedostatky v dokumentácii k zadávaniu zákazky alebo chýbajúca dokumentácia alebo jej časť</w:t>
            </w:r>
          </w:p>
        </w:tc>
        <w:tc>
          <w:tcPr>
            <w:tcW w:w="7087" w:type="dxa"/>
            <w:shd w:val="clear" w:color="auto" w:fill="auto"/>
          </w:tcPr>
          <w:p w14:paraId="00E3E69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Verejný obstarávateľ opakovane v určenej lehote nepredložil kompletnú dokumentáciu k postupu zadávania zákazky, na základe čoho nie je možné overiť dodržiavanie pravidiel a postupov verejného obstarávania.</w:t>
            </w:r>
          </w:p>
          <w:p w14:paraId="421191E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37185352"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100%</w:t>
            </w:r>
          </w:p>
        </w:tc>
      </w:tr>
      <w:tr w:rsidR="0016633D" w:rsidRPr="0016633D" w14:paraId="05BD9F4E" w14:textId="77777777" w:rsidTr="00983D96">
        <w:trPr>
          <w:trHeight w:val="382"/>
        </w:trPr>
        <w:tc>
          <w:tcPr>
            <w:tcW w:w="675" w:type="dxa"/>
            <w:vMerge/>
            <w:shd w:val="clear" w:color="auto" w:fill="auto"/>
            <w:vAlign w:val="center"/>
          </w:tcPr>
          <w:p w14:paraId="5043B1E8"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500CDF6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18E46A1C"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Dokumentácia k postupu zadávania zákazky  je nedostatočná na posúdenie, či ponuky/žiadosti o účasť boli správne vyhodnotené, čo je v rozpore s princípom transparentnosti, napr. zápisnica z vyhodnotenia ponúk neexistuje alebo proces týkajúci sa konkrétneho prideľovania bodov pre každú ponuku je nejasný/nedostatočný z hľadiska transparentnosti alebo </w:t>
            </w:r>
            <w:r w:rsidRPr="0016633D">
              <w:rPr>
                <w:rFonts w:ascii="Times New Roman" w:eastAsia="Calibri" w:hAnsi="Times New Roman"/>
                <w:sz w:val="22"/>
                <w:szCs w:val="22"/>
                <w:lang w:val="sk-SK" w:eastAsia="cs-CZ"/>
              </w:rPr>
              <w:lastRenderedPageBreak/>
              <w:t>neexistuje.</w:t>
            </w:r>
          </w:p>
          <w:p w14:paraId="0DC78446"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3A2A2B9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7ED67E7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25%</w:t>
            </w:r>
          </w:p>
        </w:tc>
      </w:tr>
      <w:tr w:rsidR="0016633D" w:rsidRPr="0016633D" w14:paraId="4F160DF9" w14:textId="77777777" w:rsidTr="00983D96">
        <w:tc>
          <w:tcPr>
            <w:tcW w:w="675" w:type="dxa"/>
            <w:shd w:val="clear" w:color="auto" w:fill="auto"/>
            <w:vAlign w:val="center"/>
          </w:tcPr>
          <w:p w14:paraId="56951654"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22</w:t>
            </w:r>
          </w:p>
        </w:tc>
        <w:tc>
          <w:tcPr>
            <w:tcW w:w="3720" w:type="dxa"/>
            <w:shd w:val="clear" w:color="auto" w:fill="auto"/>
          </w:tcPr>
          <w:p w14:paraId="308667B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Rokovanie v priebehu súťaže alebo modifikácia (zmena) ponuky počas hodnotenia ponúk</w:t>
            </w:r>
          </w:p>
        </w:tc>
        <w:tc>
          <w:tcPr>
            <w:tcW w:w="7087" w:type="dxa"/>
            <w:shd w:val="clear" w:color="auto" w:fill="auto"/>
          </w:tcPr>
          <w:p w14:paraId="2F44963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Verejný obstarávateľ umožní uchádzačovi/záujemcovi modifikovať (zmeniť) jeho ponuku/žiadosť o účasť počas hodnotenia ponúk/žiadosti o účasť, čo má za následok prijatie ponuky/žiadosti o účasť tohto uchádzača/záujemcu. </w:t>
            </w:r>
          </w:p>
          <w:p w14:paraId="7544910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627D995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Vo verejnej súťaži alebo užšej súťaži verejný obstarávateľ rokuje s uchádzačmi/záujemcami počas hodnotiacej fázy, čo vedie k podstatnej modifikácii (zmene) pôvodných podmienok uvedených v oznámení o vyhlásení verejného obstarávania/výzve na predkladanie ponúk alebo v súťažných podkladoch.</w:t>
            </w:r>
          </w:p>
          <w:p w14:paraId="0770243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742A9072"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FF45B47"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7C5E81F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25%</w:t>
            </w:r>
          </w:p>
          <w:p w14:paraId="50ADC6E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35B3D59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6AF74EE2" w14:textId="77777777" w:rsidTr="00983D96">
        <w:tc>
          <w:tcPr>
            <w:tcW w:w="675" w:type="dxa"/>
            <w:shd w:val="clear" w:color="auto" w:fill="auto"/>
            <w:vAlign w:val="center"/>
          </w:tcPr>
          <w:p w14:paraId="1C22D690"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23</w:t>
            </w:r>
          </w:p>
        </w:tc>
        <w:tc>
          <w:tcPr>
            <w:tcW w:w="3720" w:type="dxa"/>
            <w:shd w:val="clear" w:color="auto" w:fill="auto"/>
          </w:tcPr>
          <w:p w14:paraId="7F8E024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Prípravné trhové konzultácie alebo predbežného zapojenia záujemcov alebo uchádzačov, pri ktorých došlo k narušeniu hospodárskej súťaže</w:t>
            </w:r>
          </w:p>
        </w:tc>
        <w:tc>
          <w:tcPr>
            <w:tcW w:w="7087" w:type="dxa"/>
            <w:shd w:val="clear" w:color="auto" w:fill="auto"/>
          </w:tcPr>
          <w:p w14:paraId="05F9CE2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Verejný obstarávateľ pred začatím postupu verejného obstarávania uskutočnil prípravné trhové konzultácie za účelom jeho prípravy a informovania hospodárskych subjektov o plánovanom postupe verejného obstarávania, pričom na tento účel najmä požiadal o radu alebo prijal radu od nezávislých odborníkov, nezávislých inštitúcií alebo od účastníkov trhu, ktorú možno použiť pri plánovaní alebo realizácii postupu verejného obstarávania, avšak </w:t>
            </w:r>
            <w:r w:rsidRPr="0016633D">
              <w:rPr>
                <w:rFonts w:ascii="Times New Roman" w:eastAsia="Calibri" w:hAnsi="Times New Roman"/>
                <w:sz w:val="22"/>
                <w:szCs w:val="22"/>
                <w:lang w:val="sk-SK" w:eastAsia="cs-CZ"/>
              </w:rPr>
              <w:lastRenderedPageBreak/>
              <w:t>pri vedení prípravných trhových konzultácií došlo k narušeniu hospodárskej súťaže a porušeniu princípu nediskriminácie a transparentnosti, nakoľko neboli prijaté</w:t>
            </w:r>
            <w:r w:rsidRPr="0016633D">
              <w:rPr>
                <w:rFonts w:ascii="Times New Roman" w:eastAsia="Calibri" w:hAnsi="Times New Roman"/>
                <w:sz w:val="22"/>
                <w:szCs w:val="22"/>
                <w:lang w:val="sk-SK"/>
              </w:rPr>
              <w:t xml:space="preserve"> </w:t>
            </w:r>
            <w:r w:rsidRPr="0016633D">
              <w:rPr>
                <w:rFonts w:ascii="Times New Roman" w:eastAsia="Calibri" w:hAnsi="Times New Roman"/>
                <w:sz w:val="22"/>
                <w:szCs w:val="22"/>
                <w:lang w:val="sk-SK" w:eastAsia="cs-CZ"/>
              </w:rPr>
              <w:t>primerané opatrenia, aby sa účasťou daného záujemcu alebo uchádzača nenarušila hospodárska súťaž.</w:t>
            </w:r>
          </w:p>
        </w:tc>
        <w:tc>
          <w:tcPr>
            <w:tcW w:w="2552" w:type="dxa"/>
            <w:shd w:val="clear" w:color="auto" w:fill="auto"/>
          </w:tcPr>
          <w:p w14:paraId="5B65C9B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 xml:space="preserve">25% </w:t>
            </w:r>
          </w:p>
        </w:tc>
      </w:tr>
      <w:tr w:rsidR="0016633D" w:rsidRPr="0016633D" w14:paraId="6FEEA424" w14:textId="77777777" w:rsidTr="00983D96">
        <w:tc>
          <w:tcPr>
            <w:tcW w:w="675" w:type="dxa"/>
            <w:shd w:val="clear" w:color="auto" w:fill="auto"/>
            <w:vAlign w:val="center"/>
          </w:tcPr>
          <w:p w14:paraId="2C9A2E29"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24</w:t>
            </w:r>
          </w:p>
        </w:tc>
        <w:tc>
          <w:tcPr>
            <w:tcW w:w="3720" w:type="dxa"/>
            <w:shd w:val="clear" w:color="auto" w:fill="auto"/>
          </w:tcPr>
          <w:p w14:paraId="31E9B0B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 rámci rokovacieho konania so zverejnením nastala podstatná modifikácia (zmena) podmienok uvedených v oznámení o vyhlásení verejného obstarávania alebo v súťažných podkladoch</w:t>
            </w:r>
          </w:p>
        </w:tc>
        <w:tc>
          <w:tcPr>
            <w:tcW w:w="7087" w:type="dxa"/>
            <w:shd w:val="clear" w:color="auto" w:fill="auto"/>
          </w:tcPr>
          <w:p w14:paraId="6D2C28F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522BEA6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25%</w:t>
            </w:r>
          </w:p>
          <w:p w14:paraId="79CBB86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176DF22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7D4CECC1" w14:textId="77777777" w:rsidTr="00983D96">
        <w:tc>
          <w:tcPr>
            <w:tcW w:w="675" w:type="dxa"/>
            <w:shd w:val="clear" w:color="auto" w:fill="auto"/>
            <w:vAlign w:val="center"/>
          </w:tcPr>
          <w:p w14:paraId="311BF636"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25</w:t>
            </w:r>
          </w:p>
        </w:tc>
        <w:tc>
          <w:tcPr>
            <w:tcW w:w="3720" w:type="dxa"/>
            <w:shd w:val="clear" w:color="auto" w:fill="auto"/>
          </w:tcPr>
          <w:p w14:paraId="18C1364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Neodôvodnené odmietnutie mimoriadne nízkej ponuky</w:t>
            </w:r>
          </w:p>
        </w:tc>
        <w:tc>
          <w:tcPr>
            <w:tcW w:w="7087" w:type="dxa"/>
            <w:shd w:val="clear" w:color="auto" w:fill="auto"/>
          </w:tcPr>
          <w:p w14:paraId="474C38A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5225557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25%</w:t>
            </w:r>
          </w:p>
        </w:tc>
      </w:tr>
      <w:tr w:rsidR="0016633D" w:rsidRPr="0016633D" w14:paraId="2E6B0226" w14:textId="77777777" w:rsidTr="00983D96">
        <w:tc>
          <w:tcPr>
            <w:tcW w:w="675" w:type="dxa"/>
            <w:tcBorders>
              <w:bottom w:val="single" w:sz="4" w:space="0" w:color="auto"/>
            </w:tcBorders>
            <w:shd w:val="clear" w:color="auto" w:fill="auto"/>
            <w:vAlign w:val="center"/>
          </w:tcPr>
          <w:p w14:paraId="0B23943D"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26</w:t>
            </w:r>
          </w:p>
        </w:tc>
        <w:tc>
          <w:tcPr>
            <w:tcW w:w="3720" w:type="dxa"/>
            <w:tcBorders>
              <w:bottom w:val="single" w:sz="4" w:space="0" w:color="auto"/>
            </w:tcBorders>
            <w:shd w:val="clear" w:color="auto" w:fill="auto"/>
          </w:tcPr>
          <w:p w14:paraId="6EFA9FD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Konflikt záujmov s vplyvom na výsledok verejného obstarávania</w:t>
            </w:r>
            <w:r w:rsidRPr="0016633D">
              <w:rPr>
                <w:rFonts w:ascii="Times New Roman" w:eastAsia="Calibri" w:hAnsi="Times New Roman"/>
                <w:sz w:val="22"/>
                <w:szCs w:val="22"/>
                <w:vertAlign w:val="superscript"/>
                <w:lang w:val="sk-SK" w:eastAsia="cs-CZ"/>
              </w:rPr>
              <w:footnoteReference w:id="10"/>
            </w:r>
          </w:p>
        </w:tc>
        <w:tc>
          <w:tcPr>
            <w:tcW w:w="7087" w:type="dxa"/>
            <w:tcBorders>
              <w:bottom w:val="single" w:sz="4" w:space="0" w:color="auto"/>
            </w:tcBorders>
            <w:shd w:val="clear" w:color="auto" w:fill="auto"/>
          </w:tcPr>
          <w:p w14:paraId="1FD286A6"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Konflikt záujmov medzi zainteresovanou osobou verejného obstarávateľa/prijímateľa a úspešným uchádzačom, v rámci ktorého neboli prijaté primerané opatrenia a vykonaná náprava.</w:t>
            </w:r>
          </w:p>
          <w:p w14:paraId="6A8440E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tcBorders>
              <w:bottom w:val="single" w:sz="4" w:space="0" w:color="auto"/>
            </w:tcBorders>
            <w:shd w:val="clear" w:color="auto" w:fill="auto"/>
          </w:tcPr>
          <w:p w14:paraId="6EB9E8E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100% </w:t>
            </w:r>
          </w:p>
          <w:p w14:paraId="6D27E437"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3AEE2C2B" w14:textId="77777777" w:rsidTr="00983D96">
        <w:trPr>
          <w:trHeight w:val="213"/>
        </w:trPr>
        <w:tc>
          <w:tcPr>
            <w:tcW w:w="675" w:type="dxa"/>
            <w:vMerge w:val="restart"/>
            <w:shd w:val="clear" w:color="auto" w:fill="auto"/>
            <w:vAlign w:val="center"/>
          </w:tcPr>
          <w:p w14:paraId="5A3E427F"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27</w:t>
            </w:r>
          </w:p>
        </w:tc>
        <w:tc>
          <w:tcPr>
            <w:tcW w:w="3720" w:type="dxa"/>
            <w:vMerge w:val="restart"/>
            <w:shd w:val="clear" w:color="auto" w:fill="auto"/>
          </w:tcPr>
          <w:p w14:paraId="2189E20C"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Dohoda obmedzujúca súťaž potvrdená Protimonopolným úradom SR alebo </w:t>
            </w:r>
            <w:r w:rsidRPr="0016633D">
              <w:rPr>
                <w:rFonts w:ascii="Times New Roman" w:eastAsia="Calibri" w:hAnsi="Times New Roman"/>
                <w:sz w:val="22"/>
                <w:szCs w:val="22"/>
                <w:lang w:val="sk-SK" w:eastAsia="cs-CZ"/>
              </w:rPr>
              <w:lastRenderedPageBreak/>
              <w:t xml:space="preserve">súdom </w:t>
            </w:r>
          </w:p>
          <w:p w14:paraId="41B1AD0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5847574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alebo </w:t>
            </w:r>
          </w:p>
          <w:p w14:paraId="43ED37E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7E86A0A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Rozhodnutie ÚVO, podľa ktorého mal prijímateľ postupovať podľa § 40 ods. 6 písm. g) ZVO</w:t>
            </w:r>
          </w:p>
        </w:tc>
        <w:tc>
          <w:tcPr>
            <w:tcW w:w="7087" w:type="dxa"/>
            <w:tcBorders>
              <w:bottom w:val="single" w:sz="4" w:space="0" w:color="auto"/>
            </w:tcBorders>
            <w:shd w:val="clear" w:color="auto" w:fill="auto"/>
          </w:tcPr>
          <w:p w14:paraId="0DCF5EE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 xml:space="preserve">Ide o prípady, ak bol účastníkom dohody obmedzujúcej súťaž (ďalej len „kartelová dohoda“) aj verejný obstarávateľ alebo osoba vykonávajúca kontrolu postupu zadávania zákazky a účastník kartelovej dohody sa stal </w:t>
            </w:r>
            <w:r w:rsidRPr="0016633D">
              <w:rPr>
                <w:rFonts w:ascii="Times New Roman" w:eastAsia="Calibri" w:hAnsi="Times New Roman"/>
                <w:sz w:val="22"/>
                <w:szCs w:val="22"/>
                <w:lang w:val="sk-SK" w:eastAsia="cs-CZ"/>
              </w:rPr>
              <w:lastRenderedPageBreak/>
              <w:t>úspešným uchádzačom.</w:t>
            </w:r>
          </w:p>
          <w:p w14:paraId="6777703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6C19F58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100%</w:t>
            </w:r>
          </w:p>
        </w:tc>
      </w:tr>
      <w:tr w:rsidR="0016633D" w:rsidRPr="0016633D" w14:paraId="709DCBE0" w14:textId="77777777" w:rsidTr="00983D96">
        <w:trPr>
          <w:trHeight w:val="213"/>
        </w:trPr>
        <w:tc>
          <w:tcPr>
            <w:tcW w:w="675" w:type="dxa"/>
            <w:vMerge/>
            <w:shd w:val="clear" w:color="auto" w:fill="auto"/>
            <w:vAlign w:val="center"/>
          </w:tcPr>
          <w:p w14:paraId="5E213088"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3A4FB31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tcBorders>
              <w:bottom w:val="single" w:sz="4" w:space="0" w:color="auto"/>
            </w:tcBorders>
            <w:shd w:val="clear" w:color="auto" w:fill="auto"/>
          </w:tcPr>
          <w:p w14:paraId="1E9733F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Ide o prípady, ak iba účastníci kartelovej dohody predložia ponuku do postupu zadávania zákazky, ktorý je predmetom kontroly. Zároveň musí byť splnená podmienka, že účastníkom kartelovej dohody nie je verejný obstarávateľ alebo osoba vykonávajúca kontrolu postupu zadávania zákazky.</w:t>
            </w:r>
          </w:p>
          <w:p w14:paraId="29B1F2DC"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2ABEB11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25%</w:t>
            </w:r>
          </w:p>
        </w:tc>
      </w:tr>
      <w:tr w:rsidR="0016633D" w:rsidRPr="0016633D" w14:paraId="3B41FDE5" w14:textId="77777777" w:rsidTr="00983D96">
        <w:trPr>
          <w:trHeight w:val="213"/>
        </w:trPr>
        <w:tc>
          <w:tcPr>
            <w:tcW w:w="675" w:type="dxa"/>
            <w:vMerge/>
            <w:tcBorders>
              <w:bottom w:val="single" w:sz="4" w:space="0" w:color="auto"/>
            </w:tcBorders>
            <w:shd w:val="clear" w:color="auto" w:fill="auto"/>
            <w:vAlign w:val="center"/>
          </w:tcPr>
          <w:p w14:paraId="70A33381"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tcBorders>
              <w:bottom w:val="single" w:sz="4" w:space="0" w:color="auto"/>
            </w:tcBorders>
            <w:shd w:val="clear" w:color="auto" w:fill="auto"/>
          </w:tcPr>
          <w:p w14:paraId="3FFBC1B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tcBorders>
              <w:bottom w:val="single" w:sz="4" w:space="0" w:color="auto"/>
            </w:tcBorders>
            <w:shd w:val="clear" w:color="auto" w:fill="auto"/>
          </w:tcPr>
          <w:p w14:paraId="38427772"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Ide o prípady, ak okrem účastníkov kartelovej dohody predložil ponuku do postupu zadávania zákazky aj hospodársky subjekt/ subjekty, ktorý nie je účastníkom kartelovej dohody, ale napriek uvedenému, účastník kartelovej dohody sa stal úspešným uchádzačom. Zároveň musí byť splnená podmienka, že účastníkom kartelovej dohody nie je verejný obstarávateľ alebo osoba vykonávajúca kontrolu postupu zadávania zákazky.</w:t>
            </w:r>
          </w:p>
          <w:p w14:paraId="68ED299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tcBorders>
              <w:bottom w:val="single" w:sz="4" w:space="0" w:color="auto"/>
            </w:tcBorders>
            <w:shd w:val="clear" w:color="auto" w:fill="auto"/>
          </w:tcPr>
          <w:p w14:paraId="6D60F272"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10%</w:t>
            </w:r>
          </w:p>
        </w:tc>
      </w:tr>
      <w:tr w:rsidR="0016633D" w:rsidRPr="0016633D" w14:paraId="29C10969" w14:textId="77777777" w:rsidTr="00983D96">
        <w:trPr>
          <w:trHeight w:val="174"/>
        </w:trPr>
        <w:tc>
          <w:tcPr>
            <w:tcW w:w="675" w:type="dxa"/>
            <w:vMerge w:val="restart"/>
            <w:shd w:val="clear" w:color="auto" w:fill="auto"/>
          </w:tcPr>
          <w:p w14:paraId="6DB6050B"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7AEC6271"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5989752C"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0960F706"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67F15314" w14:textId="77777777" w:rsidR="0016633D" w:rsidRPr="0016633D" w:rsidRDefault="0016633D" w:rsidP="0016633D">
            <w:pPr>
              <w:spacing w:after="200" w:line="276" w:lineRule="auto"/>
              <w:jc w:val="center"/>
              <w:rPr>
                <w:rFonts w:ascii="Times New Roman" w:eastAsia="Calibri" w:hAnsi="Times New Roman"/>
                <w:sz w:val="22"/>
                <w:szCs w:val="22"/>
                <w:lang w:val="sk-SK"/>
              </w:rPr>
            </w:pPr>
          </w:p>
          <w:p w14:paraId="300D256C"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val="restart"/>
            <w:shd w:val="clear" w:color="auto" w:fill="auto"/>
          </w:tcPr>
          <w:p w14:paraId="03615D15"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tcBorders>
              <w:bottom w:val="single" w:sz="4" w:space="0" w:color="auto"/>
            </w:tcBorders>
            <w:shd w:val="clear" w:color="auto" w:fill="auto"/>
          </w:tcPr>
          <w:p w14:paraId="493C8EA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 </w:t>
            </w:r>
          </w:p>
        </w:tc>
        <w:tc>
          <w:tcPr>
            <w:tcW w:w="2552" w:type="dxa"/>
            <w:shd w:val="clear" w:color="auto" w:fill="auto"/>
          </w:tcPr>
          <w:p w14:paraId="3338591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13BF378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r>
      <w:tr w:rsidR="0016633D" w:rsidRPr="0016633D" w14:paraId="6489EFC0" w14:textId="77777777" w:rsidTr="00983D96">
        <w:trPr>
          <w:trHeight w:val="58"/>
        </w:trPr>
        <w:tc>
          <w:tcPr>
            <w:tcW w:w="675" w:type="dxa"/>
            <w:vMerge/>
            <w:tcBorders>
              <w:bottom w:val="single" w:sz="4" w:space="0" w:color="auto"/>
            </w:tcBorders>
            <w:shd w:val="clear" w:color="auto" w:fill="auto"/>
          </w:tcPr>
          <w:p w14:paraId="6D92C7CD" w14:textId="77777777" w:rsidR="0016633D" w:rsidRPr="0016633D" w:rsidRDefault="0016633D" w:rsidP="0016633D">
            <w:pPr>
              <w:spacing w:after="200" w:line="276" w:lineRule="auto"/>
              <w:jc w:val="center"/>
              <w:rPr>
                <w:rFonts w:ascii="Times New Roman" w:eastAsia="Calibri" w:hAnsi="Times New Roman"/>
                <w:sz w:val="22"/>
                <w:szCs w:val="22"/>
                <w:lang w:val="sk-SK"/>
              </w:rPr>
            </w:pPr>
          </w:p>
        </w:tc>
        <w:tc>
          <w:tcPr>
            <w:tcW w:w="3720" w:type="dxa"/>
            <w:vMerge/>
            <w:tcBorders>
              <w:bottom w:val="single" w:sz="4" w:space="0" w:color="auto"/>
            </w:tcBorders>
            <w:shd w:val="clear" w:color="auto" w:fill="auto"/>
          </w:tcPr>
          <w:p w14:paraId="3307E854" w14:textId="77777777" w:rsidR="0016633D" w:rsidRPr="0016633D" w:rsidRDefault="0016633D" w:rsidP="0016633D">
            <w:pPr>
              <w:spacing w:after="200" w:line="276" w:lineRule="auto"/>
              <w:jc w:val="both"/>
              <w:rPr>
                <w:rFonts w:ascii="Times New Roman" w:eastAsia="Calibri" w:hAnsi="Times New Roman"/>
                <w:sz w:val="22"/>
                <w:szCs w:val="22"/>
                <w:lang w:val="sk-SK"/>
              </w:rPr>
            </w:pPr>
          </w:p>
        </w:tc>
        <w:tc>
          <w:tcPr>
            <w:tcW w:w="7087" w:type="dxa"/>
            <w:tcBorders>
              <w:bottom w:val="single" w:sz="4" w:space="0" w:color="auto"/>
            </w:tcBorders>
            <w:shd w:val="clear" w:color="auto" w:fill="auto"/>
          </w:tcPr>
          <w:p w14:paraId="5168A4D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tcBorders>
              <w:bottom w:val="single" w:sz="4" w:space="0" w:color="auto"/>
            </w:tcBorders>
            <w:shd w:val="clear" w:color="auto" w:fill="auto"/>
          </w:tcPr>
          <w:p w14:paraId="7E80ABD3" w14:textId="77777777" w:rsidR="0016633D" w:rsidRDefault="0016633D" w:rsidP="0016633D">
            <w:pPr>
              <w:spacing w:after="200" w:line="276" w:lineRule="auto"/>
              <w:jc w:val="both"/>
              <w:rPr>
                <w:rFonts w:ascii="Times New Roman" w:eastAsia="Calibri" w:hAnsi="Times New Roman"/>
                <w:sz w:val="22"/>
                <w:szCs w:val="22"/>
                <w:lang w:val="sk-SK" w:eastAsia="cs-CZ"/>
              </w:rPr>
            </w:pPr>
          </w:p>
          <w:p w14:paraId="01B759E4" w14:textId="77777777" w:rsidR="005B1A8E" w:rsidRDefault="005B1A8E" w:rsidP="0016633D">
            <w:pPr>
              <w:spacing w:after="200" w:line="276" w:lineRule="auto"/>
              <w:jc w:val="both"/>
              <w:rPr>
                <w:rFonts w:ascii="Times New Roman" w:eastAsia="Calibri" w:hAnsi="Times New Roman"/>
                <w:sz w:val="22"/>
                <w:szCs w:val="22"/>
                <w:lang w:val="sk-SK" w:eastAsia="cs-CZ"/>
              </w:rPr>
            </w:pPr>
          </w:p>
          <w:p w14:paraId="0CAEA9A9" w14:textId="77777777" w:rsidR="005B1A8E" w:rsidRDefault="005B1A8E" w:rsidP="0016633D">
            <w:pPr>
              <w:spacing w:after="200" w:line="276" w:lineRule="auto"/>
              <w:jc w:val="both"/>
              <w:rPr>
                <w:rFonts w:ascii="Times New Roman" w:eastAsia="Calibri" w:hAnsi="Times New Roman"/>
                <w:sz w:val="22"/>
                <w:szCs w:val="22"/>
                <w:lang w:val="sk-SK" w:eastAsia="cs-CZ"/>
              </w:rPr>
            </w:pPr>
          </w:p>
          <w:p w14:paraId="1C821369" w14:textId="77777777" w:rsidR="005B1A8E" w:rsidRDefault="005B1A8E" w:rsidP="0016633D">
            <w:pPr>
              <w:spacing w:after="200" w:line="276" w:lineRule="auto"/>
              <w:jc w:val="both"/>
              <w:rPr>
                <w:rFonts w:ascii="Times New Roman" w:eastAsia="Calibri" w:hAnsi="Times New Roman"/>
                <w:sz w:val="22"/>
                <w:szCs w:val="22"/>
                <w:lang w:val="sk-SK" w:eastAsia="cs-CZ"/>
              </w:rPr>
            </w:pPr>
          </w:p>
          <w:p w14:paraId="3689EE5B" w14:textId="23AF70AB" w:rsidR="005B1A8E" w:rsidRPr="0016633D" w:rsidRDefault="005B1A8E" w:rsidP="0016633D">
            <w:pPr>
              <w:spacing w:after="200" w:line="276" w:lineRule="auto"/>
              <w:jc w:val="both"/>
              <w:rPr>
                <w:rFonts w:ascii="Times New Roman" w:eastAsia="Calibri" w:hAnsi="Times New Roman"/>
                <w:sz w:val="22"/>
                <w:szCs w:val="22"/>
                <w:lang w:val="sk-SK" w:eastAsia="cs-CZ"/>
              </w:rPr>
            </w:pPr>
          </w:p>
        </w:tc>
      </w:tr>
      <w:tr w:rsidR="0016633D" w:rsidRPr="0016633D" w14:paraId="3E84B20D" w14:textId="77777777" w:rsidTr="00983D96">
        <w:tc>
          <w:tcPr>
            <w:tcW w:w="14034" w:type="dxa"/>
            <w:gridSpan w:val="4"/>
            <w:shd w:val="clear" w:color="auto" w:fill="BFBFBF"/>
            <w:vAlign w:val="center"/>
          </w:tcPr>
          <w:p w14:paraId="1ABF78A9" w14:textId="77777777" w:rsidR="0016633D" w:rsidRPr="0016633D" w:rsidRDefault="0016633D" w:rsidP="0016633D">
            <w:pPr>
              <w:spacing w:after="200" w:line="276" w:lineRule="auto"/>
              <w:jc w:val="both"/>
              <w:rPr>
                <w:rFonts w:ascii="Times New Roman" w:eastAsia="Calibri" w:hAnsi="Times New Roman"/>
                <w:b/>
                <w:sz w:val="22"/>
                <w:szCs w:val="22"/>
                <w:lang w:val="sk-SK" w:eastAsia="cs-CZ"/>
              </w:rPr>
            </w:pPr>
            <w:r w:rsidRPr="0016633D">
              <w:rPr>
                <w:rFonts w:ascii="Times New Roman" w:eastAsia="Calibri" w:hAnsi="Times New Roman"/>
                <w:b/>
                <w:sz w:val="22"/>
                <w:szCs w:val="22"/>
                <w:lang w:val="sk-SK" w:eastAsia="cs-CZ"/>
              </w:rPr>
              <w:lastRenderedPageBreak/>
              <w:t>Realizácia zákazky</w:t>
            </w:r>
          </w:p>
        </w:tc>
      </w:tr>
      <w:tr w:rsidR="0016633D" w:rsidRPr="0016633D" w14:paraId="5ADAEED3" w14:textId="77777777" w:rsidTr="00983D96">
        <w:trPr>
          <w:trHeight w:val="315"/>
        </w:trPr>
        <w:tc>
          <w:tcPr>
            <w:tcW w:w="675" w:type="dxa"/>
            <w:vMerge w:val="restart"/>
            <w:shd w:val="clear" w:color="auto" w:fill="auto"/>
            <w:vAlign w:val="center"/>
          </w:tcPr>
          <w:p w14:paraId="03AF8195"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28</w:t>
            </w:r>
          </w:p>
        </w:tc>
        <w:tc>
          <w:tcPr>
            <w:tcW w:w="3720" w:type="dxa"/>
            <w:vMerge w:val="restart"/>
            <w:shd w:val="clear" w:color="auto" w:fill="auto"/>
          </w:tcPr>
          <w:p w14:paraId="7F0AD0F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Zmena zmluvy (dodatok), ktorá nie je v súlade s pravidlami ustanovenými           v ZVO alebo v Metodickom pokyne CKO č. 12 v prípade zákaziek, na ktoré sa nevzťahuje pôsobnosť ZVO</w:t>
            </w:r>
          </w:p>
        </w:tc>
        <w:tc>
          <w:tcPr>
            <w:tcW w:w="7087" w:type="dxa"/>
            <w:shd w:val="clear" w:color="auto" w:fill="auto"/>
          </w:tcPr>
          <w:p w14:paraId="5CFFC1D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Po uzavretí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 a v Metodickom pokyne CKO č. 12 (kapitola 8) v prípade zákaziek, na ktoré sa nevzťahuje pôsobnosť ZVO.</w:t>
            </w:r>
          </w:p>
          <w:p w14:paraId="5ABD1A38"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23A3B58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Ide aj o prípady, keď uzavretá zmluva, rámcová dohoda alebo koncesná zmluva je v rozpore so súťažnými podkladmi alebo koncesnou dokumentáciou alebo s ponukou predloženou úspešným uchádzačom alebo uchádzačmi a prípady, keď bol znížený rozsah zákazky.</w:t>
            </w:r>
          </w:p>
          <w:p w14:paraId="5A76E39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1E04F30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Zároveň ide o prípady, ak neboli splnené podmienky na zmenu zmluvy, rámcovej dohody alebo koncesnej zmluvy podľa § 18 ods. 1 písm. a) a písm. d) ZVO, resp. podmienky uvedené v Metodickom pokyne CKO č. 12 (kapitola 8) v prípade zákaziek, na ktoré sa nevzťahuje pôsobnosť ZVO.</w:t>
            </w:r>
          </w:p>
          <w:p w14:paraId="3EEBA2EA"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70D5C944"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Ide aj o prípady, keď neboli splnené podmienky na zmenu zmluvy podľa § 18 ods. 1 písm. b) ZVO alebo podľa § 18 ods. 1 písm. c) ZVO, ale zároveň jednou zmenou zmluvy (dodatkom) nedošlo k navýšeniu hodnoty plnenia o viac ako 50 % z hodnoty pôvodnej zmluvy, rámcovej dohody alebo koncesnej zmluvy.</w:t>
            </w:r>
          </w:p>
          <w:p w14:paraId="549722DF"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4521B7E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 xml:space="preserve">Finančná oprava sa v prípade zákaziek realizovaných podľa ZVO neuplatňuje, ak </w:t>
            </w:r>
          </w:p>
          <w:p w14:paraId="3997F7AC" w14:textId="77777777" w:rsidR="0016633D" w:rsidRPr="0016633D" w:rsidRDefault="0016633D" w:rsidP="0016633D">
            <w:pPr>
              <w:numPr>
                <w:ilvl w:val="0"/>
                <w:numId w:val="156"/>
              </w:numPr>
              <w:spacing w:after="200" w:line="276" w:lineRule="auto"/>
              <w:contextualSpacing/>
              <w:jc w:val="both"/>
              <w:rPr>
                <w:rFonts w:ascii="Times New Roman" w:eastAsia="Calibri" w:hAnsi="Times New Roman"/>
                <w:sz w:val="22"/>
                <w:szCs w:val="22"/>
                <w:lang w:val="x-none" w:eastAsia="cs-CZ"/>
              </w:rPr>
            </w:pPr>
            <w:r w:rsidRPr="0016633D">
              <w:rPr>
                <w:rFonts w:ascii="Times New Roman" w:eastAsia="Calibri" w:hAnsi="Times New Roman"/>
                <w:sz w:val="22"/>
                <w:szCs w:val="22"/>
                <w:lang w:val="x-none" w:eastAsia="cs-CZ"/>
              </w:rPr>
              <w:t xml:space="preserve">ak hodnota všetkých zmien je nižšia ako finančný limit pre nadlimitnú zákazku a zároveň je nižšia ako </w:t>
            </w:r>
          </w:p>
          <w:p w14:paraId="16055F86" w14:textId="77777777" w:rsidR="0016633D" w:rsidRPr="0016633D" w:rsidRDefault="0016633D" w:rsidP="0016633D">
            <w:pPr>
              <w:numPr>
                <w:ilvl w:val="0"/>
                <w:numId w:val="156"/>
              </w:numPr>
              <w:spacing w:after="200" w:line="276" w:lineRule="auto"/>
              <w:contextualSpacing/>
              <w:jc w:val="both"/>
              <w:rPr>
                <w:rFonts w:ascii="Times New Roman" w:eastAsia="Calibri" w:hAnsi="Times New Roman"/>
                <w:sz w:val="22"/>
                <w:szCs w:val="22"/>
                <w:lang w:val="x-none" w:eastAsia="cs-CZ"/>
              </w:rPr>
            </w:pPr>
            <w:r w:rsidRPr="0016633D">
              <w:rPr>
                <w:rFonts w:ascii="Times New Roman" w:eastAsia="Calibri" w:hAnsi="Times New Roman"/>
                <w:sz w:val="22"/>
                <w:szCs w:val="22"/>
                <w:lang w:val="x-none" w:eastAsia="cs-CZ"/>
              </w:rPr>
              <w:t xml:space="preserve">15% hodnoty pôvodnej zmluvy alebo rámcovej dohody, ak ide o zákazku na uskutočnenie stavebných prác, </w:t>
            </w:r>
          </w:p>
          <w:p w14:paraId="672E4994" w14:textId="77777777" w:rsidR="0016633D" w:rsidRPr="0016633D" w:rsidRDefault="0016633D" w:rsidP="0016633D">
            <w:pPr>
              <w:numPr>
                <w:ilvl w:val="0"/>
                <w:numId w:val="156"/>
              </w:numPr>
              <w:spacing w:after="200" w:line="276" w:lineRule="auto"/>
              <w:contextualSpacing/>
              <w:jc w:val="both"/>
              <w:rPr>
                <w:rFonts w:ascii="Times New Roman" w:eastAsia="Calibri" w:hAnsi="Times New Roman"/>
                <w:sz w:val="22"/>
                <w:szCs w:val="22"/>
                <w:lang w:val="x-none" w:eastAsia="cs-CZ"/>
              </w:rPr>
            </w:pPr>
            <w:r w:rsidRPr="0016633D">
              <w:rPr>
                <w:rFonts w:ascii="Times New Roman" w:eastAsia="Calibri" w:hAnsi="Times New Roman"/>
                <w:sz w:val="22"/>
                <w:szCs w:val="22"/>
                <w:lang w:val="x-none" w:eastAsia="cs-CZ"/>
              </w:rPr>
              <w:t xml:space="preserve">10% hodnoty pôvodnej zmluvy alebo rámcovej dohody, ak ide o zákazku na dodanie tovaru alebo na poskytnutie služby, alebo </w:t>
            </w:r>
          </w:p>
          <w:p w14:paraId="75C9B1EA" w14:textId="77777777" w:rsidR="0016633D" w:rsidRPr="0016633D" w:rsidRDefault="0016633D" w:rsidP="0016633D">
            <w:pPr>
              <w:numPr>
                <w:ilvl w:val="0"/>
                <w:numId w:val="156"/>
              </w:numPr>
              <w:spacing w:after="200" w:line="276" w:lineRule="auto"/>
              <w:contextualSpacing/>
              <w:jc w:val="both"/>
              <w:rPr>
                <w:rFonts w:ascii="Times New Roman" w:eastAsia="Calibri" w:hAnsi="Times New Roman"/>
                <w:sz w:val="22"/>
                <w:szCs w:val="22"/>
                <w:lang w:val="x-none" w:eastAsia="cs-CZ"/>
              </w:rPr>
            </w:pPr>
            <w:r w:rsidRPr="0016633D">
              <w:rPr>
                <w:rFonts w:ascii="Times New Roman" w:eastAsia="Calibri" w:hAnsi="Times New Roman"/>
                <w:sz w:val="22"/>
                <w:szCs w:val="22"/>
                <w:lang w:val="x-none" w:eastAsia="cs-CZ"/>
              </w:rPr>
              <w:t>10% hodnoty pôvodnej koncesnej zmluvy, ak ide o koncesiu.</w:t>
            </w:r>
          </w:p>
          <w:p w14:paraId="55BB6793"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Zmenou sa zároveň nesmie meniť charakter zmluvy, rámcovej dohody alebo koncesnej zmluvy.</w:t>
            </w:r>
          </w:p>
          <w:p w14:paraId="11815F2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p w14:paraId="2B2B179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Opakované zmeny zmluvy nie je možné vykonať s cieľom vyhnúť sa použitiu postupov podľa ZVO.</w:t>
            </w:r>
          </w:p>
          <w:p w14:paraId="2F356C01"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2552" w:type="dxa"/>
            <w:shd w:val="clear" w:color="auto" w:fill="auto"/>
          </w:tcPr>
          <w:p w14:paraId="2F7D1BE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lastRenderedPageBreak/>
              <w:t>25% z ceny zmluvy</w:t>
            </w:r>
          </w:p>
          <w:p w14:paraId="6DA4804D"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a 25% z hodnoty dodatočných výdavkov vychádzajúcich zo zmien zmluvy.</w:t>
            </w:r>
          </w:p>
        </w:tc>
      </w:tr>
      <w:tr w:rsidR="0016633D" w:rsidRPr="0016633D" w14:paraId="3D132414" w14:textId="77777777" w:rsidTr="00983D96">
        <w:trPr>
          <w:trHeight w:val="1371"/>
        </w:trPr>
        <w:tc>
          <w:tcPr>
            <w:tcW w:w="675" w:type="dxa"/>
            <w:vMerge/>
            <w:shd w:val="clear" w:color="auto" w:fill="auto"/>
            <w:vAlign w:val="center"/>
          </w:tcPr>
          <w:p w14:paraId="1C090160" w14:textId="77777777" w:rsidR="0016633D" w:rsidRPr="0016633D" w:rsidRDefault="0016633D" w:rsidP="0016633D">
            <w:pPr>
              <w:spacing w:after="200" w:line="276" w:lineRule="auto"/>
              <w:jc w:val="center"/>
              <w:rPr>
                <w:rFonts w:ascii="Times New Roman" w:eastAsia="Calibri" w:hAnsi="Times New Roman"/>
                <w:sz w:val="22"/>
                <w:szCs w:val="22"/>
                <w:lang w:val="sk-SK" w:eastAsia="cs-CZ"/>
              </w:rPr>
            </w:pPr>
          </w:p>
        </w:tc>
        <w:tc>
          <w:tcPr>
            <w:tcW w:w="3720" w:type="dxa"/>
            <w:vMerge/>
            <w:shd w:val="clear" w:color="auto" w:fill="auto"/>
          </w:tcPr>
          <w:p w14:paraId="208688DB"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p>
        </w:tc>
        <w:tc>
          <w:tcPr>
            <w:tcW w:w="7087" w:type="dxa"/>
            <w:shd w:val="clear" w:color="auto" w:fill="auto"/>
          </w:tcPr>
          <w:p w14:paraId="643D1040"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Ide o prípady, keď zmenou zmluvy (dodatkom) došlo k navýšeniu hodnoty plnenia o viac ako 50% z hodnoty pôvodnej zmluvy, rámcovej dohody alebo koncesnej zmluvy.</w:t>
            </w:r>
          </w:p>
        </w:tc>
        <w:tc>
          <w:tcPr>
            <w:tcW w:w="2552" w:type="dxa"/>
            <w:shd w:val="clear" w:color="auto" w:fill="auto"/>
          </w:tcPr>
          <w:p w14:paraId="15A54729"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25% z ceny zmluvy</w:t>
            </w:r>
          </w:p>
          <w:p w14:paraId="00A7B68E" w14:textId="77777777" w:rsidR="0016633D" w:rsidRPr="0016633D" w:rsidRDefault="0016633D" w:rsidP="0016633D">
            <w:pPr>
              <w:spacing w:after="200" w:line="276" w:lineRule="auto"/>
              <w:jc w:val="both"/>
              <w:rPr>
                <w:rFonts w:ascii="Times New Roman" w:eastAsia="Calibri" w:hAnsi="Times New Roman"/>
                <w:sz w:val="22"/>
                <w:szCs w:val="22"/>
                <w:lang w:val="sk-SK" w:eastAsia="cs-CZ"/>
              </w:rPr>
            </w:pPr>
            <w:r w:rsidRPr="0016633D">
              <w:rPr>
                <w:rFonts w:ascii="Times New Roman" w:eastAsia="Calibri" w:hAnsi="Times New Roman"/>
                <w:sz w:val="22"/>
                <w:szCs w:val="22"/>
                <w:lang w:val="sk-SK" w:eastAsia="cs-CZ"/>
              </w:rPr>
              <w:t>a  100% hodnoty dodatočných výdavkov vychádzajúcich zo zmien zmluvy.</w:t>
            </w:r>
          </w:p>
        </w:tc>
      </w:tr>
    </w:tbl>
    <w:p w14:paraId="4CE1D2C6" w14:textId="77777777" w:rsidR="0016633D" w:rsidRPr="00E7454A" w:rsidRDefault="0016633D" w:rsidP="00F431AC">
      <w:pPr>
        <w:tabs>
          <w:tab w:val="left" w:pos="1014"/>
        </w:tabs>
        <w:spacing w:line="288" w:lineRule="auto"/>
        <w:contextualSpacing/>
        <w:jc w:val="right"/>
        <w:rPr>
          <w:rFonts w:ascii="Times New Roman" w:hAnsi="Times New Roman"/>
          <w:i/>
          <w:sz w:val="20"/>
          <w:szCs w:val="20"/>
        </w:rPr>
      </w:pPr>
    </w:p>
    <w:sectPr w:rsidR="0016633D" w:rsidRPr="00E7454A" w:rsidSect="0016633D">
      <w:headerReference w:type="default" r:id="rId13"/>
      <w:footerReference w:type="default" r:id="rId14"/>
      <w:headerReference w:type="first" r:id="rId15"/>
      <w:footerReference w:type="first" r:id="rId16"/>
      <w:type w:val="continuous"/>
      <w:pgSz w:w="16838" w:h="11906" w:orient="landscape"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4B998" w14:textId="77777777" w:rsidR="0017490D" w:rsidRDefault="0017490D">
      <w:r>
        <w:separator/>
      </w:r>
    </w:p>
    <w:p w14:paraId="2470B371" w14:textId="77777777" w:rsidR="0017490D" w:rsidRDefault="0017490D"/>
  </w:endnote>
  <w:endnote w:type="continuationSeparator" w:id="0">
    <w:p w14:paraId="3D93982A" w14:textId="77777777" w:rsidR="0017490D" w:rsidRDefault="0017490D">
      <w:r>
        <w:continuationSeparator/>
      </w:r>
    </w:p>
    <w:p w14:paraId="62416437" w14:textId="77777777" w:rsidR="0017490D" w:rsidRDefault="0017490D"/>
  </w:endnote>
  <w:endnote w:type="continuationNotice" w:id="1">
    <w:p w14:paraId="1BAA661E" w14:textId="77777777" w:rsidR="0017490D" w:rsidRDefault="001749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Condensed">
    <w:charset w:val="00"/>
    <w:family w:val="swiss"/>
    <w:pitch w:val="variable"/>
    <w:sig w:usb0="80000287" w:usb1="00000000" w:usb2="00000000" w:usb3="00000000" w:csb0="0000000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4886990"/>
      <w:docPartObj>
        <w:docPartGallery w:val="Page Numbers (Bottom of Page)"/>
        <w:docPartUnique/>
      </w:docPartObj>
    </w:sdtPr>
    <w:sdtEndPr>
      <w:rPr>
        <w:noProof/>
      </w:rPr>
    </w:sdtEndPr>
    <w:sdtContent>
      <w:p w14:paraId="57E8C206" w14:textId="77777777" w:rsidR="006D04C5" w:rsidRDefault="006D04C5">
        <w:pPr>
          <w:pStyle w:val="Pta"/>
          <w:jc w:val="right"/>
        </w:pPr>
        <w:r>
          <w:fldChar w:fldCharType="begin"/>
        </w:r>
        <w:r>
          <w:instrText xml:space="preserve"> PAGE   \* MERGEFORMAT </w:instrText>
        </w:r>
        <w:r>
          <w:fldChar w:fldCharType="separate"/>
        </w:r>
        <w:r w:rsidR="003509DC">
          <w:rPr>
            <w:noProof/>
          </w:rPr>
          <w:t>2</w:t>
        </w:r>
        <w:r>
          <w:rPr>
            <w:noProof/>
          </w:rPr>
          <w:fldChar w:fldCharType="end"/>
        </w:r>
      </w:p>
    </w:sdtContent>
  </w:sdt>
  <w:p w14:paraId="57E8C207" w14:textId="77777777" w:rsidR="006D04C5" w:rsidRPr="003530AF" w:rsidRDefault="006D04C5" w:rsidP="003530AF">
    <w:pPr>
      <w:pStyle w:val="Pta"/>
      <w:jc w:val="right"/>
      <w:rPr>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5D097" w14:textId="77777777" w:rsidR="00B4749C" w:rsidRDefault="00B4749C" w:rsidP="00B4749C">
    <w:pPr>
      <w:tabs>
        <w:tab w:val="center" w:pos="4536"/>
        <w:tab w:val="right" w:pos="9072"/>
      </w:tabs>
      <w:jc w:val="center"/>
      <w:rPr>
        <w:rFonts w:ascii="Times New Roman" w:hAnsi="Times New Roman"/>
        <w:i/>
        <w:sz w:val="20"/>
        <w:szCs w:val="20"/>
      </w:rPr>
    </w:pPr>
  </w:p>
  <w:p w14:paraId="01DB18DF" w14:textId="6A8EA6BF" w:rsidR="00B4749C" w:rsidRPr="00B4749C" w:rsidRDefault="00BA11BA" w:rsidP="00BA11BA">
    <w:pPr>
      <w:tabs>
        <w:tab w:val="center" w:pos="4536"/>
        <w:tab w:val="right" w:pos="9072"/>
      </w:tabs>
      <w:jc w:val="center"/>
      <w:rPr>
        <w:rFonts w:ascii="Verdana" w:hAnsi="Verdana"/>
        <w:i/>
        <w:sz w:val="18"/>
        <w:szCs w:val="18"/>
      </w:rPr>
    </w:pPr>
    <w:proofErr w:type="spellStart"/>
    <w:r>
      <w:rPr>
        <w:i/>
        <w:sz w:val="20"/>
        <w:szCs w:val="20"/>
      </w:rPr>
      <w:t>Platnosť</w:t>
    </w:r>
    <w:proofErr w:type="spellEnd"/>
    <w:r>
      <w:rPr>
        <w:i/>
        <w:sz w:val="20"/>
        <w:szCs w:val="20"/>
      </w:rPr>
      <w:t xml:space="preserve">: </w:t>
    </w:r>
    <w:r w:rsidR="0067091A">
      <w:rPr>
        <w:i/>
        <w:sz w:val="20"/>
        <w:szCs w:val="20"/>
      </w:rPr>
      <w:t>1</w:t>
    </w:r>
    <w:r w:rsidR="003509DC">
      <w:rPr>
        <w:i/>
        <w:sz w:val="20"/>
        <w:szCs w:val="20"/>
      </w:rPr>
      <w:t>5</w:t>
    </w:r>
    <w:r w:rsidR="00DF1E81">
      <w:rPr>
        <w:i/>
        <w:sz w:val="20"/>
        <w:szCs w:val="20"/>
      </w:rPr>
      <w:t>.0</w:t>
    </w:r>
    <w:r w:rsidR="00597EA6">
      <w:rPr>
        <w:i/>
        <w:sz w:val="20"/>
        <w:szCs w:val="20"/>
      </w:rPr>
      <w:t>6</w:t>
    </w:r>
    <w:r w:rsidR="00DF1E81">
      <w:rPr>
        <w:i/>
        <w:sz w:val="20"/>
        <w:szCs w:val="20"/>
      </w:rPr>
      <w:t>.20</w:t>
    </w:r>
    <w:r w:rsidR="003509DC">
      <w:rPr>
        <w:i/>
        <w:sz w:val="20"/>
        <w:szCs w:val="20"/>
      </w:rPr>
      <w:t>21</w:t>
    </w:r>
    <w:r>
      <w:rPr>
        <w:i/>
        <w:sz w:val="20"/>
        <w:szCs w:val="20"/>
      </w:rPr>
      <w:t xml:space="preserve">, </w:t>
    </w:r>
    <w:proofErr w:type="spellStart"/>
    <w:r>
      <w:rPr>
        <w:i/>
        <w:sz w:val="20"/>
        <w:szCs w:val="20"/>
      </w:rPr>
      <w:t>účinnosť</w:t>
    </w:r>
    <w:proofErr w:type="spellEnd"/>
    <w:r>
      <w:rPr>
        <w:i/>
        <w:sz w:val="20"/>
        <w:szCs w:val="20"/>
      </w:rPr>
      <w:t xml:space="preserve">: </w:t>
    </w:r>
    <w:r w:rsidR="0067091A">
      <w:rPr>
        <w:i/>
        <w:sz w:val="20"/>
        <w:szCs w:val="20"/>
      </w:rPr>
      <w:t>1</w:t>
    </w:r>
    <w:r w:rsidR="003509DC">
      <w:rPr>
        <w:i/>
        <w:sz w:val="20"/>
        <w:szCs w:val="20"/>
      </w:rPr>
      <w:t>5</w:t>
    </w:r>
    <w:r w:rsidR="00DF1E81">
      <w:rPr>
        <w:i/>
        <w:sz w:val="20"/>
        <w:szCs w:val="20"/>
      </w:rPr>
      <w:t>.0</w:t>
    </w:r>
    <w:r w:rsidR="00597EA6">
      <w:rPr>
        <w:i/>
        <w:sz w:val="20"/>
        <w:szCs w:val="20"/>
      </w:rPr>
      <w:t>6</w:t>
    </w:r>
    <w:r w:rsidR="00DF1E81">
      <w:rPr>
        <w:i/>
        <w:sz w:val="20"/>
        <w:szCs w:val="20"/>
      </w:rPr>
      <w:t>.20</w:t>
    </w:r>
    <w:r w:rsidR="003509DC">
      <w:rPr>
        <w:i/>
        <w:sz w:val="20"/>
        <w:szCs w:val="20"/>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0AD67" w14:textId="77777777" w:rsidR="0017490D" w:rsidRDefault="0017490D">
      <w:r>
        <w:separator/>
      </w:r>
    </w:p>
    <w:p w14:paraId="5B992567" w14:textId="77777777" w:rsidR="0017490D" w:rsidRDefault="0017490D"/>
  </w:footnote>
  <w:footnote w:type="continuationSeparator" w:id="0">
    <w:p w14:paraId="40268C1A" w14:textId="77777777" w:rsidR="0017490D" w:rsidRDefault="0017490D">
      <w:r>
        <w:continuationSeparator/>
      </w:r>
    </w:p>
    <w:p w14:paraId="21D99F68" w14:textId="77777777" w:rsidR="0017490D" w:rsidRDefault="0017490D"/>
  </w:footnote>
  <w:footnote w:type="continuationNotice" w:id="1">
    <w:p w14:paraId="0AEC1E2E" w14:textId="77777777" w:rsidR="0017490D" w:rsidRDefault="0017490D"/>
  </w:footnote>
  <w:footnote w:id="2">
    <w:p w14:paraId="225BD97A" w14:textId="77777777" w:rsidR="0016633D" w:rsidRDefault="0016633D" w:rsidP="0016633D">
      <w:pPr>
        <w:pStyle w:val="Textpoznmkypodiarou"/>
      </w:pPr>
      <w:r>
        <w:rPr>
          <w:rStyle w:val="Odkaznapoznmkupodiarou"/>
        </w:rPr>
        <w:footnoteRef/>
      </w:r>
      <w:r>
        <w:t xml:space="preserve"> </w:t>
      </w:r>
      <w:proofErr w:type="spellStart"/>
      <w:r w:rsidRPr="006B181B">
        <w:rPr>
          <w:sz w:val="18"/>
          <w:szCs w:val="18"/>
        </w:rPr>
        <w:t>Označenie</w:t>
      </w:r>
      <w:proofErr w:type="spellEnd"/>
      <w:r w:rsidRPr="006B181B">
        <w:rPr>
          <w:sz w:val="18"/>
          <w:szCs w:val="18"/>
        </w:rPr>
        <w:t xml:space="preserve"> „</w:t>
      </w:r>
      <w:proofErr w:type="spellStart"/>
      <w:r w:rsidRPr="006B181B">
        <w:rPr>
          <w:sz w:val="18"/>
          <w:szCs w:val="18"/>
        </w:rPr>
        <w:t>Verejný</w:t>
      </w:r>
      <w:proofErr w:type="spellEnd"/>
      <w:r w:rsidRPr="006B181B">
        <w:rPr>
          <w:sz w:val="18"/>
          <w:szCs w:val="18"/>
        </w:rPr>
        <w:t xml:space="preserve"> </w:t>
      </w:r>
      <w:proofErr w:type="spellStart"/>
      <w:proofErr w:type="gramStart"/>
      <w:r w:rsidRPr="006B181B">
        <w:rPr>
          <w:sz w:val="18"/>
          <w:szCs w:val="18"/>
        </w:rPr>
        <w:t>o</w:t>
      </w:r>
      <w:r>
        <w:rPr>
          <w:sz w:val="18"/>
          <w:szCs w:val="18"/>
        </w:rPr>
        <w:t>bstarávateľ</w:t>
      </w:r>
      <w:proofErr w:type="spellEnd"/>
      <w:r>
        <w:rPr>
          <w:sz w:val="18"/>
          <w:szCs w:val="18"/>
        </w:rPr>
        <w:t xml:space="preserve">“ </w:t>
      </w:r>
      <w:proofErr w:type="spellStart"/>
      <w:r>
        <w:rPr>
          <w:sz w:val="18"/>
          <w:szCs w:val="18"/>
        </w:rPr>
        <w:t>sa</w:t>
      </w:r>
      <w:proofErr w:type="spellEnd"/>
      <w:proofErr w:type="gramEnd"/>
      <w:r>
        <w:rPr>
          <w:sz w:val="18"/>
          <w:szCs w:val="18"/>
        </w:rPr>
        <w:t xml:space="preserve"> </w:t>
      </w:r>
      <w:proofErr w:type="spellStart"/>
      <w:r>
        <w:rPr>
          <w:sz w:val="18"/>
          <w:szCs w:val="18"/>
        </w:rPr>
        <w:t>vzťahuje</w:t>
      </w:r>
      <w:proofErr w:type="spellEnd"/>
      <w:r>
        <w:rPr>
          <w:sz w:val="18"/>
          <w:szCs w:val="18"/>
        </w:rPr>
        <w:t xml:space="preserve"> </w:t>
      </w:r>
      <w:proofErr w:type="spellStart"/>
      <w:r>
        <w:rPr>
          <w:sz w:val="18"/>
          <w:szCs w:val="18"/>
        </w:rPr>
        <w:t>aj</w:t>
      </w:r>
      <w:proofErr w:type="spellEnd"/>
      <w:r>
        <w:rPr>
          <w:sz w:val="18"/>
          <w:szCs w:val="18"/>
        </w:rPr>
        <w:t xml:space="preserve"> </w:t>
      </w:r>
      <w:proofErr w:type="spellStart"/>
      <w:r>
        <w:rPr>
          <w:sz w:val="18"/>
          <w:szCs w:val="18"/>
        </w:rPr>
        <w:t>na</w:t>
      </w:r>
      <w:proofErr w:type="spellEnd"/>
      <w:r>
        <w:rPr>
          <w:sz w:val="18"/>
          <w:szCs w:val="18"/>
        </w:rPr>
        <w:t xml:space="preserve"> </w:t>
      </w:r>
      <w:proofErr w:type="spellStart"/>
      <w:r>
        <w:rPr>
          <w:sz w:val="18"/>
          <w:szCs w:val="18"/>
        </w:rPr>
        <w:t>o</w:t>
      </w:r>
      <w:r w:rsidRPr="006B181B">
        <w:rPr>
          <w:sz w:val="18"/>
          <w:szCs w:val="18"/>
        </w:rPr>
        <w:t>bstarávateľa</w:t>
      </w:r>
      <w:proofErr w:type="spellEnd"/>
      <w:r w:rsidRPr="006B181B">
        <w:rPr>
          <w:sz w:val="18"/>
          <w:szCs w:val="18"/>
        </w:rPr>
        <w:t xml:space="preserve"> </w:t>
      </w:r>
      <w:proofErr w:type="spellStart"/>
      <w:r>
        <w:rPr>
          <w:sz w:val="18"/>
          <w:szCs w:val="18"/>
        </w:rPr>
        <w:t>podľa</w:t>
      </w:r>
      <w:proofErr w:type="spellEnd"/>
      <w:r w:rsidRPr="006B181B">
        <w:rPr>
          <w:sz w:val="18"/>
          <w:szCs w:val="18"/>
        </w:rPr>
        <w:t xml:space="preserve"> </w:t>
      </w:r>
      <w:r>
        <w:rPr>
          <w:sz w:val="18"/>
          <w:szCs w:val="18"/>
        </w:rPr>
        <w:t>§ 9 Z</w:t>
      </w:r>
      <w:r w:rsidRPr="006B181B">
        <w:rPr>
          <w:sz w:val="18"/>
          <w:szCs w:val="18"/>
        </w:rPr>
        <w:t xml:space="preserve">VO </w:t>
      </w:r>
      <w:r>
        <w:rPr>
          <w:sz w:val="18"/>
          <w:szCs w:val="18"/>
        </w:rPr>
        <w:t>a </w:t>
      </w:r>
      <w:proofErr w:type="spellStart"/>
      <w:r>
        <w:rPr>
          <w:sz w:val="18"/>
          <w:szCs w:val="18"/>
        </w:rPr>
        <w:t>osobu</w:t>
      </w:r>
      <w:proofErr w:type="spellEnd"/>
      <w:r>
        <w:rPr>
          <w:sz w:val="18"/>
          <w:szCs w:val="18"/>
        </w:rPr>
        <w:t xml:space="preserve"> </w:t>
      </w:r>
      <w:proofErr w:type="spellStart"/>
      <w:r>
        <w:rPr>
          <w:sz w:val="18"/>
          <w:szCs w:val="18"/>
        </w:rPr>
        <w:t>podľa</w:t>
      </w:r>
      <w:proofErr w:type="spellEnd"/>
      <w:r>
        <w:rPr>
          <w:sz w:val="18"/>
          <w:szCs w:val="18"/>
        </w:rPr>
        <w:t xml:space="preserve"> § 8 ZVO</w:t>
      </w:r>
    </w:p>
  </w:footnote>
  <w:footnote w:id="3">
    <w:p w14:paraId="38B2E3D4" w14:textId="77777777" w:rsidR="0016633D" w:rsidRPr="0071245E" w:rsidRDefault="0016633D" w:rsidP="0016633D">
      <w:pPr>
        <w:pStyle w:val="Textpoznmkypodiarou"/>
        <w:jc w:val="both"/>
      </w:pPr>
      <w:r w:rsidRPr="0071245E">
        <w:rPr>
          <w:rStyle w:val="Odkaznapoznmkupodiarou"/>
        </w:rPr>
        <w:footnoteRef/>
      </w:r>
      <w:r>
        <w:t xml:space="preserve"> </w:t>
      </w:r>
      <w:proofErr w:type="spellStart"/>
      <w:r>
        <w:t>Uvedený</w:t>
      </w:r>
      <w:proofErr w:type="spellEnd"/>
      <w:r>
        <w:t xml:space="preserve"> </w:t>
      </w:r>
      <w:proofErr w:type="spellStart"/>
      <w:r>
        <w:t>typ</w:t>
      </w:r>
      <w:proofErr w:type="spellEnd"/>
      <w:r>
        <w:t xml:space="preserve"> </w:t>
      </w:r>
      <w:proofErr w:type="spellStart"/>
      <w:r>
        <w:t>porušenia</w:t>
      </w:r>
      <w:proofErr w:type="spellEnd"/>
      <w:r>
        <w:t xml:space="preserve"> </w:t>
      </w:r>
      <w:proofErr w:type="spellStart"/>
      <w:r>
        <w:t>sa</w:t>
      </w:r>
      <w:proofErr w:type="spellEnd"/>
      <w:r>
        <w:t xml:space="preserve"> </w:t>
      </w:r>
      <w:proofErr w:type="spellStart"/>
      <w:r>
        <w:t>primerane</w:t>
      </w:r>
      <w:proofErr w:type="spellEnd"/>
      <w:r>
        <w:t xml:space="preserve"> </w:t>
      </w:r>
      <w:proofErr w:type="spellStart"/>
      <w:r>
        <w:t>vzťahuje</w:t>
      </w:r>
      <w:proofErr w:type="spellEnd"/>
      <w:r>
        <w:t xml:space="preserve"> </w:t>
      </w:r>
      <w:proofErr w:type="spellStart"/>
      <w:r>
        <w:t>aj</w:t>
      </w:r>
      <w:proofErr w:type="spellEnd"/>
      <w:r>
        <w:t xml:space="preserve"> </w:t>
      </w:r>
      <w:proofErr w:type="spellStart"/>
      <w:r>
        <w:t>na</w:t>
      </w:r>
      <w:proofErr w:type="spellEnd"/>
      <w:r>
        <w:t xml:space="preserve"> </w:t>
      </w:r>
      <w:proofErr w:type="spellStart"/>
      <w:r>
        <w:t>minimálne</w:t>
      </w:r>
      <w:proofErr w:type="spellEnd"/>
      <w:r>
        <w:t xml:space="preserve"> </w:t>
      </w:r>
      <w:proofErr w:type="spellStart"/>
      <w:r>
        <w:t>lehoty</w:t>
      </w:r>
      <w:proofErr w:type="spellEnd"/>
      <w:r>
        <w:t xml:space="preserve"> </w:t>
      </w:r>
      <w:proofErr w:type="spellStart"/>
      <w:r>
        <w:t>na</w:t>
      </w:r>
      <w:proofErr w:type="spellEnd"/>
      <w:r>
        <w:t xml:space="preserve"> </w:t>
      </w:r>
      <w:proofErr w:type="spellStart"/>
      <w:r>
        <w:t>predkladanie</w:t>
      </w:r>
      <w:proofErr w:type="spellEnd"/>
      <w:r>
        <w:t xml:space="preserve"> </w:t>
      </w:r>
      <w:proofErr w:type="spellStart"/>
      <w:r>
        <w:t>ponúk</w:t>
      </w:r>
      <w:proofErr w:type="spellEnd"/>
      <w:r>
        <w:t xml:space="preserve"> </w:t>
      </w:r>
      <w:proofErr w:type="spellStart"/>
      <w:r>
        <w:t>upravené</w:t>
      </w:r>
      <w:proofErr w:type="spellEnd"/>
      <w:r>
        <w:t xml:space="preserve"> v MP CKO č. 14 k </w:t>
      </w:r>
      <w:proofErr w:type="spellStart"/>
      <w:r>
        <w:t>zadávaniu</w:t>
      </w:r>
      <w:proofErr w:type="spellEnd"/>
      <w:r>
        <w:t xml:space="preserve"> </w:t>
      </w:r>
      <w:proofErr w:type="spellStart"/>
      <w:r>
        <w:t>zákaziek</w:t>
      </w:r>
      <w:proofErr w:type="spellEnd"/>
      <w:r>
        <w:t xml:space="preserve"> </w:t>
      </w:r>
      <w:proofErr w:type="spellStart"/>
      <w:r>
        <w:t>nad</w:t>
      </w:r>
      <w:proofErr w:type="spellEnd"/>
      <w:r>
        <w:t xml:space="preserve"> 50 000 </w:t>
      </w:r>
      <w:proofErr w:type="spellStart"/>
      <w:r>
        <w:t>eur</w:t>
      </w:r>
      <w:proofErr w:type="spellEnd"/>
      <w:r>
        <w:t xml:space="preserve"> a </w:t>
      </w:r>
      <w:proofErr w:type="spellStart"/>
      <w:r>
        <w:t>na</w:t>
      </w:r>
      <w:proofErr w:type="spellEnd"/>
      <w:r>
        <w:t xml:space="preserve"> </w:t>
      </w:r>
      <w:proofErr w:type="spellStart"/>
      <w:r>
        <w:t>minimálne</w:t>
      </w:r>
      <w:proofErr w:type="spellEnd"/>
      <w:r>
        <w:t xml:space="preserve"> </w:t>
      </w:r>
      <w:proofErr w:type="spellStart"/>
      <w:r>
        <w:t>lehoty</w:t>
      </w:r>
      <w:proofErr w:type="spellEnd"/>
      <w:r>
        <w:t xml:space="preserve"> </w:t>
      </w:r>
      <w:proofErr w:type="spellStart"/>
      <w:r>
        <w:t>na</w:t>
      </w:r>
      <w:proofErr w:type="spellEnd"/>
      <w:r>
        <w:t xml:space="preserve"> </w:t>
      </w:r>
      <w:proofErr w:type="spellStart"/>
      <w:r>
        <w:t>predkladanie</w:t>
      </w:r>
      <w:proofErr w:type="spellEnd"/>
      <w:r>
        <w:t xml:space="preserve"> </w:t>
      </w:r>
      <w:proofErr w:type="spellStart"/>
      <w:r>
        <w:t>ponúk</w:t>
      </w:r>
      <w:proofErr w:type="spellEnd"/>
      <w:r>
        <w:t xml:space="preserve"> </w:t>
      </w:r>
      <w:proofErr w:type="spellStart"/>
      <w:r>
        <w:t>upravené</w:t>
      </w:r>
      <w:proofErr w:type="spellEnd"/>
      <w:r>
        <w:t xml:space="preserve"> v </w:t>
      </w:r>
      <w:proofErr w:type="spellStart"/>
      <w:r>
        <w:t>Metodickom</w:t>
      </w:r>
      <w:proofErr w:type="spellEnd"/>
      <w:r>
        <w:t xml:space="preserve"> </w:t>
      </w:r>
      <w:proofErr w:type="spellStart"/>
      <w:r>
        <w:t>pokyne</w:t>
      </w:r>
      <w:proofErr w:type="spellEnd"/>
      <w:r>
        <w:t xml:space="preserve"> CKO č. 12</w:t>
      </w:r>
    </w:p>
  </w:footnote>
  <w:footnote w:id="4">
    <w:p w14:paraId="41DB12EF" w14:textId="77777777" w:rsidR="0016633D" w:rsidRPr="0071245E" w:rsidRDefault="0016633D" w:rsidP="0016633D">
      <w:pPr>
        <w:pStyle w:val="Textpoznmkypodiarou"/>
      </w:pPr>
      <w:r w:rsidRPr="0071245E">
        <w:rPr>
          <w:rStyle w:val="Odkaznapoznmkupodiarou"/>
        </w:rPr>
        <w:footnoteRef/>
      </w:r>
      <w:r w:rsidRPr="0071245E">
        <w:t xml:space="preserve"> </w:t>
      </w:r>
      <w:proofErr w:type="spellStart"/>
      <w:r w:rsidRPr="0071245E">
        <w:t>Lehoty</w:t>
      </w:r>
      <w:proofErr w:type="spellEnd"/>
      <w:r w:rsidRPr="0071245E">
        <w:t xml:space="preserve"> </w:t>
      </w:r>
      <w:proofErr w:type="spellStart"/>
      <w:r w:rsidRPr="0071245E">
        <w:t>sú</w:t>
      </w:r>
      <w:proofErr w:type="spellEnd"/>
      <w:r w:rsidRPr="0071245E">
        <w:t xml:space="preserve"> </w:t>
      </w:r>
      <w:proofErr w:type="spellStart"/>
      <w:r w:rsidRPr="0071245E">
        <w:t>stanovené</w:t>
      </w:r>
      <w:proofErr w:type="spellEnd"/>
      <w:r w:rsidRPr="0071245E">
        <w:t xml:space="preserve"> pre </w:t>
      </w:r>
      <w:proofErr w:type="spellStart"/>
      <w:r w:rsidRPr="0071245E">
        <w:t>užšiu</w:t>
      </w:r>
      <w:proofErr w:type="spellEnd"/>
      <w:r w:rsidRPr="0071245E">
        <w:t xml:space="preserve"> </w:t>
      </w:r>
      <w:proofErr w:type="spellStart"/>
      <w:r w:rsidRPr="0071245E">
        <w:t>súťaž</w:t>
      </w:r>
      <w:proofErr w:type="spellEnd"/>
      <w:r w:rsidRPr="0071245E">
        <w:t xml:space="preserve"> a </w:t>
      </w:r>
      <w:proofErr w:type="spellStart"/>
      <w:r w:rsidRPr="0071245E">
        <w:t>rokovacie</w:t>
      </w:r>
      <w:proofErr w:type="spellEnd"/>
      <w:r w:rsidRPr="0071245E">
        <w:t xml:space="preserve"> </w:t>
      </w:r>
      <w:proofErr w:type="spellStart"/>
      <w:r w:rsidRPr="0071245E">
        <w:t>konanie</w:t>
      </w:r>
      <w:proofErr w:type="spellEnd"/>
      <w:r w:rsidRPr="0071245E">
        <w:t xml:space="preserve"> so </w:t>
      </w:r>
      <w:proofErr w:type="spellStart"/>
      <w:r w:rsidRPr="0071245E">
        <w:t>zverejnením</w:t>
      </w:r>
      <w:proofErr w:type="spellEnd"/>
      <w:r w:rsidRPr="0071245E">
        <w:t>.</w:t>
      </w:r>
    </w:p>
  </w:footnote>
  <w:footnote w:id="5">
    <w:p w14:paraId="0C722947" w14:textId="77777777" w:rsidR="0016633D" w:rsidRPr="0071245E" w:rsidRDefault="0016633D" w:rsidP="0016633D">
      <w:pPr>
        <w:pStyle w:val="Textpoznmkypodiarou"/>
        <w:jc w:val="both"/>
      </w:pPr>
      <w:r w:rsidRPr="0071245E">
        <w:rPr>
          <w:rStyle w:val="Odkaznapoznmkupodiarou"/>
        </w:rPr>
        <w:footnoteRef/>
      </w:r>
      <w:r>
        <w:t xml:space="preserve"> Ak </w:t>
      </w:r>
      <w:proofErr w:type="spellStart"/>
      <w:r>
        <w:t>bol</w:t>
      </w:r>
      <w:proofErr w:type="spellEnd"/>
      <w:r>
        <w:t xml:space="preserve"> </w:t>
      </w:r>
      <w:proofErr w:type="spellStart"/>
      <w:r>
        <w:t>poskytnutý</w:t>
      </w:r>
      <w:proofErr w:type="spellEnd"/>
      <w:r>
        <w:t xml:space="preserve"> </w:t>
      </w:r>
      <w:proofErr w:type="spellStart"/>
      <w:r w:rsidRPr="00652385">
        <w:t>prístup</w:t>
      </w:r>
      <w:proofErr w:type="spellEnd"/>
      <w:r w:rsidRPr="00652385">
        <w:t xml:space="preserve"> </w:t>
      </w:r>
      <w:proofErr w:type="spellStart"/>
      <w:r w:rsidRPr="00652385">
        <w:t>prostredníctvom</w:t>
      </w:r>
      <w:proofErr w:type="spellEnd"/>
      <w:r w:rsidRPr="00652385">
        <w:t xml:space="preserve"> </w:t>
      </w:r>
      <w:proofErr w:type="spellStart"/>
      <w:r w:rsidRPr="00652385">
        <w:t>elektronických</w:t>
      </w:r>
      <w:proofErr w:type="spellEnd"/>
      <w:r w:rsidRPr="00652385">
        <w:t xml:space="preserve"> </w:t>
      </w:r>
      <w:proofErr w:type="spellStart"/>
      <w:r w:rsidRPr="00652385">
        <w:t>prostr</w:t>
      </w:r>
      <w:r>
        <w:t>iedkov</w:t>
      </w:r>
      <w:proofErr w:type="spellEnd"/>
      <w:r>
        <w:t xml:space="preserve"> </w:t>
      </w:r>
      <w:r w:rsidRPr="00652385">
        <w:t xml:space="preserve">k </w:t>
      </w:r>
      <w:proofErr w:type="spellStart"/>
      <w:r w:rsidRPr="00652385">
        <w:t>súťažným</w:t>
      </w:r>
      <w:proofErr w:type="spellEnd"/>
      <w:r w:rsidRPr="00652385">
        <w:t xml:space="preserve"> </w:t>
      </w:r>
      <w:proofErr w:type="spellStart"/>
      <w:r w:rsidRPr="00652385">
        <w:t>podkladom</w:t>
      </w:r>
      <w:proofErr w:type="spellEnd"/>
      <w:r w:rsidRPr="00652385">
        <w:t xml:space="preserve"> </w:t>
      </w:r>
      <w:proofErr w:type="spellStart"/>
      <w:r w:rsidRPr="00652385">
        <w:t>alebo</w:t>
      </w:r>
      <w:proofErr w:type="spellEnd"/>
      <w:r w:rsidRPr="00652385">
        <w:t xml:space="preserve"> </w:t>
      </w:r>
      <w:proofErr w:type="spellStart"/>
      <w:r w:rsidRPr="00652385">
        <w:t>iným</w:t>
      </w:r>
      <w:proofErr w:type="spellEnd"/>
      <w:r w:rsidRPr="00652385">
        <w:t xml:space="preserve"> </w:t>
      </w:r>
      <w:proofErr w:type="spellStart"/>
      <w:r w:rsidRPr="00652385">
        <w:t>dokumentom</w:t>
      </w:r>
      <w:proofErr w:type="spellEnd"/>
      <w:r>
        <w:t>,</w:t>
      </w:r>
      <w:r w:rsidRPr="00652385">
        <w:t xml:space="preserve"> </w:t>
      </w:r>
      <w:proofErr w:type="spellStart"/>
      <w:r w:rsidRPr="00652385">
        <w:t>ktoré</w:t>
      </w:r>
      <w:proofErr w:type="spellEnd"/>
      <w:r w:rsidRPr="00652385">
        <w:t xml:space="preserve"> </w:t>
      </w:r>
      <w:proofErr w:type="spellStart"/>
      <w:r w:rsidRPr="00652385">
        <w:t>sú</w:t>
      </w:r>
      <w:proofErr w:type="spellEnd"/>
      <w:r w:rsidRPr="00652385">
        <w:t xml:space="preserve"> </w:t>
      </w:r>
      <w:proofErr w:type="spellStart"/>
      <w:r w:rsidRPr="00652385">
        <w:t>potrebné</w:t>
      </w:r>
      <w:proofErr w:type="spellEnd"/>
      <w:r w:rsidRPr="00652385">
        <w:t xml:space="preserve"> </w:t>
      </w:r>
      <w:proofErr w:type="spellStart"/>
      <w:r w:rsidRPr="00652385">
        <w:t>na</w:t>
      </w:r>
      <w:proofErr w:type="spellEnd"/>
      <w:r w:rsidRPr="00652385">
        <w:t xml:space="preserve"> </w:t>
      </w:r>
      <w:proofErr w:type="spellStart"/>
      <w:r w:rsidRPr="00652385">
        <w:t>vypracovanie</w:t>
      </w:r>
      <w:proofErr w:type="spellEnd"/>
      <w:r w:rsidRPr="00652385">
        <w:t xml:space="preserve"> </w:t>
      </w:r>
      <w:proofErr w:type="spellStart"/>
      <w:r w:rsidRPr="00652385">
        <w:t>žiadosti</w:t>
      </w:r>
      <w:proofErr w:type="spellEnd"/>
      <w:r>
        <w:t xml:space="preserve"> </w:t>
      </w:r>
      <w:r w:rsidRPr="00652385">
        <w:t xml:space="preserve">o </w:t>
      </w:r>
      <w:proofErr w:type="spellStart"/>
      <w:r w:rsidRPr="00652385">
        <w:t>účasť</w:t>
      </w:r>
      <w:proofErr w:type="spellEnd"/>
      <w:r w:rsidRPr="00652385">
        <w:t>/</w:t>
      </w:r>
      <w:proofErr w:type="spellStart"/>
      <w:r w:rsidRPr="00652385">
        <w:t>ponuky</w:t>
      </w:r>
      <w:proofErr w:type="spellEnd"/>
      <w:r>
        <w:t xml:space="preserve"> a </w:t>
      </w:r>
      <w:proofErr w:type="spellStart"/>
      <w:r>
        <w:t>tento</w:t>
      </w:r>
      <w:proofErr w:type="spellEnd"/>
      <w:r>
        <w:t xml:space="preserve"> </w:t>
      </w:r>
      <w:proofErr w:type="spellStart"/>
      <w:r>
        <w:t>prístup</w:t>
      </w:r>
      <w:proofErr w:type="spellEnd"/>
      <w:r>
        <w:t xml:space="preserve"> </w:t>
      </w:r>
      <w:proofErr w:type="spellStart"/>
      <w:r>
        <w:t>nebol</w:t>
      </w:r>
      <w:proofErr w:type="spellEnd"/>
      <w:r>
        <w:t xml:space="preserve"> k </w:t>
      </w:r>
      <w:proofErr w:type="spellStart"/>
      <w:r>
        <w:t>dispozícii</w:t>
      </w:r>
      <w:proofErr w:type="spellEnd"/>
      <w:r>
        <w:t xml:space="preserve"> po </w:t>
      </w:r>
      <w:proofErr w:type="spellStart"/>
      <w:r>
        <w:t>celú</w:t>
      </w:r>
      <w:proofErr w:type="spellEnd"/>
      <w:r>
        <w:t xml:space="preserve"> </w:t>
      </w:r>
      <w:proofErr w:type="spellStart"/>
      <w:r>
        <w:t>dobu</w:t>
      </w:r>
      <w:proofErr w:type="spellEnd"/>
      <w:r>
        <w:t xml:space="preserve"> </w:t>
      </w:r>
      <w:proofErr w:type="spellStart"/>
      <w:r>
        <w:t>od</w:t>
      </w:r>
      <w:proofErr w:type="spellEnd"/>
      <w:r w:rsidRPr="00652385">
        <w:t xml:space="preserve"> </w:t>
      </w:r>
      <w:proofErr w:type="spellStart"/>
      <w:r w:rsidRPr="00652385">
        <w:t>odo</w:t>
      </w:r>
      <w:proofErr w:type="spellEnd"/>
      <w:r w:rsidRPr="00652385">
        <w:t xml:space="preserve"> </w:t>
      </w:r>
      <w:proofErr w:type="spellStart"/>
      <w:r w:rsidRPr="00652385">
        <w:t>dňa</w:t>
      </w:r>
      <w:proofErr w:type="spellEnd"/>
      <w:r w:rsidRPr="00652385">
        <w:t xml:space="preserve"> </w:t>
      </w:r>
      <w:proofErr w:type="spellStart"/>
      <w:r w:rsidRPr="00652385">
        <w:t>uverejnenia</w:t>
      </w:r>
      <w:proofErr w:type="spellEnd"/>
      <w:r w:rsidRPr="00652385">
        <w:t xml:space="preserve"> </w:t>
      </w:r>
      <w:proofErr w:type="spellStart"/>
      <w:r w:rsidRPr="00652385">
        <w:t>oznámenia</w:t>
      </w:r>
      <w:proofErr w:type="spellEnd"/>
      <w:r w:rsidRPr="00652385">
        <w:t xml:space="preserve"> o </w:t>
      </w:r>
      <w:proofErr w:type="spellStart"/>
      <w:r w:rsidRPr="00652385">
        <w:t>vyhlásení</w:t>
      </w:r>
      <w:proofErr w:type="spellEnd"/>
      <w:r w:rsidRPr="00652385">
        <w:t xml:space="preserve"> </w:t>
      </w:r>
      <w:proofErr w:type="spellStart"/>
      <w:r w:rsidRPr="00652385">
        <w:t>verejného</w:t>
      </w:r>
      <w:proofErr w:type="spellEnd"/>
      <w:r w:rsidRPr="00652385">
        <w:t xml:space="preserve"> </w:t>
      </w:r>
      <w:proofErr w:type="spellStart"/>
      <w:r w:rsidRPr="00652385">
        <w:t>obstarávania</w:t>
      </w:r>
      <w:proofErr w:type="spellEnd"/>
      <w:r w:rsidRPr="00652385">
        <w:t xml:space="preserve">, </w:t>
      </w:r>
      <w:proofErr w:type="spellStart"/>
      <w:r w:rsidRPr="00652385">
        <w:t>oznámenia</w:t>
      </w:r>
      <w:proofErr w:type="spellEnd"/>
      <w:r w:rsidRPr="00652385">
        <w:t xml:space="preserve"> </w:t>
      </w:r>
      <w:proofErr w:type="spellStart"/>
      <w:r w:rsidRPr="00652385">
        <w:t>použitého</w:t>
      </w:r>
      <w:proofErr w:type="spellEnd"/>
      <w:r w:rsidRPr="00652385">
        <w:t xml:space="preserve"> </w:t>
      </w:r>
      <w:proofErr w:type="spellStart"/>
      <w:r w:rsidRPr="00652385">
        <w:t>ako</w:t>
      </w:r>
      <w:proofErr w:type="spellEnd"/>
      <w:r w:rsidRPr="00652385">
        <w:t xml:space="preserve"> </w:t>
      </w:r>
      <w:proofErr w:type="spellStart"/>
      <w:r w:rsidRPr="00652385">
        <w:t>výzva</w:t>
      </w:r>
      <w:proofErr w:type="spellEnd"/>
      <w:r w:rsidRPr="00652385">
        <w:t xml:space="preserve"> </w:t>
      </w:r>
      <w:proofErr w:type="spellStart"/>
      <w:r w:rsidRPr="00652385">
        <w:t>na</w:t>
      </w:r>
      <w:proofErr w:type="spellEnd"/>
      <w:r w:rsidRPr="00652385">
        <w:t xml:space="preserve"> </w:t>
      </w:r>
      <w:proofErr w:type="spellStart"/>
      <w:r w:rsidRPr="00652385">
        <w:t>súťaž</w:t>
      </w:r>
      <w:proofErr w:type="spellEnd"/>
      <w:r w:rsidRPr="00652385">
        <w:t xml:space="preserve">, </w:t>
      </w:r>
      <w:proofErr w:type="spellStart"/>
      <w:r w:rsidRPr="00652385">
        <w:t>oznámenia</w:t>
      </w:r>
      <w:proofErr w:type="spellEnd"/>
      <w:r w:rsidRPr="00652385">
        <w:t xml:space="preserve"> o </w:t>
      </w:r>
      <w:proofErr w:type="spellStart"/>
      <w:r w:rsidRPr="00652385">
        <w:t>vyhlásení</w:t>
      </w:r>
      <w:proofErr w:type="spellEnd"/>
      <w:r w:rsidRPr="00652385">
        <w:t xml:space="preserve"> </w:t>
      </w:r>
      <w:proofErr w:type="spellStart"/>
      <w:r w:rsidRPr="00652385">
        <w:t>súťaže</w:t>
      </w:r>
      <w:proofErr w:type="spellEnd"/>
      <w:r w:rsidRPr="00652385">
        <w:t xml:space="preserve"> </w:t>
      </w:r>
      <w:proofErr w:type="spellStart"/>
      <w:r w:rsidRPr="00652385">
        <w:t>návrhov</w:t>
      </w:r>
      <w:proofErr w:type="spellEnd"/>
      <w:r w:rsidRPr="00652385">
        <w:t xml:space="preserve"> </w:t>
      </w:r>
      <w:proofErr w:type="spellStart"/>
      <w:r w:rsidRPr="00652385">
        <w:t>alebo</w:t>
      </w:r>
      <w:proofErr w:type="spellEnd"/>
      <w:r w:rsidRPr="00652385">
        <w:t xml:space="preserve"> </w:t>
      </w:r>
      <w:proofErr w:type="spellStart"/>
      <w:r w:rsidRPr="00652385">
        <w:t>oznámenia</w:t>
      </w:r>
      <w:proofErr w:type="spellEnd"/>
      <w:r w:rsidRPr="00652385">
        <w:t xml:space="preserve"> o </w:t>
      </w:r>
      <w:proofErr w:type="spellStart"/>
      <w:r w:rsidRPr="00652385">
        <w:t>koncesii</w:t>
      </w:r>
      <w:proofErr w:type="spellEnd"/>
      <w:r w:rsidRPr="00652385">
        <w:t xml:space="preserve"> v </w:t>
      </w:r>
      <w:proofErr w:type="spellStart"/>
      <w:r w:rsidRPr="00652385">
        <w:t>európskom</w:t>
      </w:r>
      <w:proofErr w:type="spellEnd"/>
      <w:r w:rsidRPr="00652385">
        <w:t xml:space="preserve"> </w:t>
      </w:r>
      <w:proofErr w:type="spellStart"/>
      <w:r w:rsidRPr="00652385">
        <w:t>vestníku</w:t>
      </w:r>
      <w:proofErr w:type="spellEnd"/>
      <w:r>
        <w:t xml:space="preserve"> do </w:t>
      </w:r>
      <w:proofErr w:type="spellStart"/>
      <w:r>
        <w:t>uplynutia</w:t>
      </w:r>
      <w:proofErr w:type="spellEnd"/>
      <w:r>
        <w:t xml:space="preserve"> </w:t>
      </w:r>
      <w:proofErr w:type="spellStart"/>
      <w:r>
        <w:t>lehoty</w:t>
      </w:r>
      <w:proofErr w:type="spellEnd"/>
      <w:r>
        <w:t xml:space="preserve"> </w:t>
      </w:r>
      <w:proofErr w:type="spellStart"/>
      <w:r>
        <w:t>na</w:t>
      </w:r>
      <w:proofErr w:type="spellEnd"/>
      <w:r>
        <w:t xml:space="preserve"> </w:t>
      </w:r>
      <w:proofErr w:type="spellStart"/>
      <w:r>
        <w:t>predkladanie</w:t>
      </w:r>
      <w:proofErr w:type="spellEnd"/>
      <w:r>
        <w:t xml:space="preserve"> </w:t>
      </w:r>
      <w:proofErr w:type="spellStart"/>
      <w:r>
        <w:t>ponúk</w:t>
      </w:r>
      <w:proofErr w:type="spellEnd"/>
      <w:r>
        <w:t xml:space="preserve">, </w:t>
      </w:r>
      <w:proofErr w:type="spellStart"/>
      <w:r>
        <w:t>uplatní</w:t>
      </w:r>
      <w:proofErr w:type="spellEnd"/>
      <w:r>
        <w:t xml:space="preserve"> </w:t>
      </w:r>
      <w:proofErr w:type="spellStart"/>
      <w:r>
        <w:t>sa</w:t>
      </w:r>
      <w:proofErr w:type="spellEnd"/>
      <w:r>
        <w:t xml:space="preserve"> </w:t>
      </w:r>
      <w:proofErr w:type="spellStart"/>
      <w:r>
        <w:t>finančná</w:t>
      </w:r>
      <w:proofErr w:type="spellEnd"/>
      <w:r>
        <w:t xml:space="preserve"> </w:t>
      </w:r>
      <w:proofErr w:type="spellStart"/>
      <w:r>
        <w:t>oprava</w:t>
      </w:r>
      <w:proofErr w:type="spellEnd"/>
      <w:r>
        <w:t xml:space="preserve"> 25%, 10% </w:t>
      </w:r>
      <w:proofErr w:type="spellStart"/>
      <w:r>
        <w:t>alebo</w:t>
      </w:r>
      <w:proofErr w:type="spellEnd"/>
      <w:r>
        <w:t xml:space="preserve"> 5% </w:t>
      </w:r>
      <w:proofErr w:type="spellStart"/>
      <w:r>
        <w:t>podľa</w:t>
      </w:r>
      <w:proofErr w:type="spellEnd"/>
      <w:r>
        <w:t xml:space="preserve"> </w:t>
      </w:r>
      <w:proofErr w:type="spellStart"/>
      <w:r>
        <w:t>obdobných</w:t>
      </w:r>
      <w:proofErr w:type="spellEnd"/>
      <w:r>
        <w:t xml:space="preserve"> </w:t>
      </w:r>
      <w:proofErr w:type="spellStart"/>
      <w:r>
        <w:t>pravidiel</w:t>
      </w:r>
      <w:proofErr w:type="spellEnd"/>
      <w:r>
        <w:t xml:space="preserve">, </w:t>
      </w:r>
      <w:proofErr w:type="spellStart"/>
      <w:r>
        <w:t>ako</w:t>
      </w:r>
      <w:proofErr w:type="spellEnd"/>
      <w:r>
        <w:t xml:space="preserve"> v </w:t>
      </w:r>
      <w:proofErr w:type="spellStart"/>
      <w:r>
        <w:t>prípade</w:t>
      </w:r>
      <w:proofErr w:type="spellEnd"/>
      <w:r>
        <w:t xml:space="preserve"> </w:t>
      </w:r>
      <w:proofErr w:type="spellStart"/>
      <w:r>
        <w:t>určenia</w:t>
      </w:r>
      <w:proofErr w:type="spellEnd"/>
      <w:r>
        <w:t xml:space="preserve"> </w:t>
      </w:r>
      <w:proofErr w:type="spellStart"/>
      <w:r>
        <w:t>lehoty</w:t>
      </w:r>
      <w:proofErr w:type="spellEnd"/>
      <w:r>
        <w:t xml:space="preserve"> </w:t>
      </w:r>
      <w:proofErr w:type="spellStart"/>
      <w:r>
        <w:t>na</w:t>
      </w:r>
      <w:proofErr w:type="spellEnd"/>
      <w:r>
        <w:t xml:space="preserve"> </w:t>
      </w:r>
      <w:proofErr w:type="spellStart"/>
      <w:r>
        <w:t>prijímanie</w:t>
      </w:r>
      <w:proofErr w:type="spellEnd"/>
      <w:r>
        <w:t xml:space="preserve"> </w:t>
      </w:r>
      <w:proofErr w:type="spellStart"/>
      <w:r>
        <w:t>žiadostí</w:t>
      </w:r>
      <w:proofErr w:type="spellEnd"/>
      <w:r>
        <w:t xml:space="preserve"> o </w:t>
      </w:r>
      <w:proofErr w:type="spellStart"/>
      <w:r>
        <w:t>súťažné</w:t>
      </w:r>
      <w:proofErr w:type="spellEnd"/>
      <w:r>
        <w:t xml:space="preserve"> </w:t>
      </w:r>
      <w:proofErr w:type="spellStart"/>
      <w:r>
        <w:t>podklady</w:t>
      </w:r>
      <w:proofErr w:type="spellEnd"/>
      <w:r>
        <w:t>.</w:t>
      </w:r>
    </w:p>
  </w:footnote>
  <w:footnote w:id="6">
    <w:p w14:paraId="12A64317" w14:textId="77777777" w:rsidR="0016633D" w:rsidRPr="0071245E" w:rsidRDefault="0016633D" w:rsidP="0016633D">
      <w:pPr>
        <w:pStyle w:val="Textpoznmkypodiarou"/>
      </w:pPr>
      <w:r w:rsidRPr="0071245E">
        <w:rPr>
          <w:rStyle w:val="Odkaznapoznmkupodiarou"/>
        </w:rPr>
        <w:footnoteRef/>
      </w:r>
      <w:r w:rsidRPr="0071245E">
        <w:t xml:space="preserve"> </w:t>
      </w:r>
      <w:proofErr w:type="spellStart"/>
      <w:r w:rsidRPr="0071245E">
        <w:t>Lehoty</w:t>
      </w:r>
      <w:proofErr w:type="spellEnd"/>
      <w:r w:rsidRPr="0071245E">
        <w:t xml:space="preserve"> </w:t>
      </w:r>
      <w:proofErr w:type="spellStart"/>
      <w:r w:rsidRPr="0071245E">
        <w:t>sú</w:t>
      </w:r>
      <w:proofErr w:type="spellEnd"/>
      <w:r w:rsidRPr="0071245E">
        <w:t xml:space="preserve"> </w:t>
      </w:r>
      <w:proofErr w:type="spellStart"/>
      <w:r w:rsidRPr="0071245E">
        <w:t>stanovené</w:t>
      </w:r>
      <w:proofErr w:type="spellEnd"/>
      <w:r w:rsidRPr="0071245E">
        <w:t xml:space="preserve"> pre </w:t>
      </w:r>
      <w:proofErr w:type="spellStart"/>
      <w:r w:rsidRPr="0071245E">
        <w:t>užšiu</w:t>
      </w:r>
      <w:proofErr w:type="spellEnd"/>
      <w:r w:rsidRPr="0071245E">
        <w:t xml:space="preserve"> </w:t>
      </w:r>
      <w:proofErr w:type="spellStart"/>
      <w:r w:rsidRPr="0071245E">
        <w:t>súťaž</w:t>
      </w:r>
      <w:proofErr w:type="spellEnd"/>
      <w:r w:rsidRPr="0071245E">
        <w:t xml:space="preserve"> a </w:t>
      </w:r>
      <w:proofErr w:type="spellStart"/>
      <w:r w:rsidRPr="0071245E">
        <w:t>rokovacie</w:t>
      </w:r>
      <w:proofErr w:type="spellEnd"/>
      <w:r w:rsidRPr="0071245E">
        <w:t xml:space="preserve"> </w:t>
      </w:r>
      <w:proofErr w:type="spellStart"/>
      <w:r w:rsidRPr="0071245E">
        <w:t>konanie</w:t>
      </w:r>
      <w:proofErr w:type="spellEnd"/>
      <w:r w:rsidRPr="0071245E">
        <w:t xml:space="preserve"> so </w:t>
      </w:r>
      <w:proofErr w:type="spellStart"/>
      <w:r w:rsidRPr="0071245E">
        <w:t>zverejnením</w:t>
      </w:r>
      <w:proofErr w:type="spellEnd"/>
      <w:r w:rsidRPr="0071245E">
        <w:t>.</w:t>
      </w:r>
    </w:p>
  </w:footnote>
  <w:footnote w:id="7">
    <w:p w14:paraId="0F6888F9" w14:textId="77777777" w:rsidR="0016633D" w:rsidRPr="0071245E" w:rsidRDefault="0016633D" w:rsidP="0016633D">
      <w:pPr>
        <w:pStyle w:val="Textpoznmkypodiarou"/>
      </w:pPr>
      <w:r w:rsidRPr="0071245E">
        <w:rPr>
          <w:rStyle w:val="Odkaznapoznmkupodiarou"/>
        </w:rPr>
        <w:footnoteRef/>
      </w:r>
      <w:r>
        <w:t xml:space="preserve"> </w:t>
      </w:r>
      <w:proofErr w:type="spellStart"/>
      <w:r>
        <w:t>napr</w:t>
      </w:r>
      <w:proofErr w:type="spellEnd"/>
      <w:r>
        <w:t xml:space="preserve">. </w:t>
      </w:r>
      <w:proofErr w:type="spellStart"/>
      <w:r>
        <w:t>ak</w:t>
      </w:r>
      <w:proofErr w:type="spellEnd"/>
      <w:r>
        <w:t xml:space="preserve"> je </w:t>
      </w:r>
      <w:proofErr w:type="spellStart"/>
      <w:r>
        <w:t>rámcová</w:t>
      </w:r>
      <w:proofErr w:type="spellEnd"/>
      <w:r>
        <w:t xml:space="preserve"> </w:t>
      </w:r>
      <w:proofErr w:type="spellStart"/>
      <w:r>
        <w:t>dohoda</w:t>
      </w:r>
      <w:proofErr w:type="spellEnd"/>
      <w:r>
        <w:t xml:space="preserve"> </w:t>
      </w:r>
      <w:proofErr w:type="spellStart"/>
      <w:r>
        <w:t>uzavretá</w:t>
      </w:r>
      <w:proofErr w:type="spellEnd"/>
      <w:r>
        <w:t xml:space="preserve"> </w:t>
      </w:r>
      <w:proofErr w:type="spellStart"/>
      <w:r>
        <w:t>na</w:t>
      </w:r>
      <w:proofErr w:type="spellEnd"/>
      <w:r>
        <w:t xml:space="preserve"> </w:t>
      </w:r>
      <w:proofErr w:type="spellStart"/>
      <w:r>
        <w:t>obdobie</w:t>
      </w:r>
      <w:proofErr w:type="spellEnd"/>
      <w:r>
        <w:t xml:space="preserve"> </w:t>
      </w:r>
      <w:proofErr w:type="spellStart"/>
      <w:r>
        <w:t>presahujúce</w:t>
      </w:r>
      <w:proofErr w:type="spellEnd"/>
      <w:r>
        <w:t xml:space="preserve"> 4 </w:t>
      </w:r>
      <w:proofErr w:type="spellStart"/>
      <w:r>
        <w:t>roky</w:t>
      </w:r>
      <w:proofErr w:type="spellEnd"/>
      <w:r>
        <w:t xml:space="preserve">, </w:t>
      </w:r>
      <w:proofErr w:type="spellStart"/>
      <w:r>
        <w:t>pričom</w:t>
      </w:r>
      <w:proofErr w:type="spellEnd"/>
      <w:r>
        <w:t xml:space="preserve"> </w:t>
      </w:r>
      <w:proofErr w:type="spellStart"/>
      <w:r>
        <w:t>nejde</w:t>
      </w:r>
      <w:proofErr w:type="spellEnd"/>
      <w:r>
        <w:t xml:space="preserve"> o </w:t>
      </w:r>
      <w:proofErr w:type="spellStart"/>
      <w:r>
        <w:t>výnimočný</w:t>
      </w:r>
      <w:proofErr w:type="spellEnd"/>
      <w:r>
        <w:t xml:space="preserve"> </w:t>
      </w:r>
      <w:proofErr w:type="spellStart"/>
      <w:r>
        <w:t>prípad</w:t>
      </w:r>
      <w:proofErr w:type="spellEnd"/>
      <w:r>
        <w:t xml:space="preserve"> </w:t>
      </w:r>
      <w:proofErr w:type="spellStart"/>
      <w:r>
        <w:t>odôvodnení</w:t>
      </w:r>
      <w:proofErr w:type="spellEnd"/>
      <w:r>
        <w:t xml:space="preserve"> </w:t>
      </w:r>
      <w:proofErr w:type="spellStart"/>
      <w:r>
        <w:t>predmetom</w:t>
      </w:r>
      <w:proofErr w:type="spellEnd"/>
      <w:r>
        <w:t xml:space="preserve"> </w:t>
      </w:r>
      <w:proofErr w:type="spellStart"/>
      <w:r>
        <w:t>rámcovej</w:t>
      </w:r>
      <w:proofErr w:type="spellEnd"/>
      <w:r>
        <w:t xml:space="preserve"> </w:t>
      </w:r>
      <w:proofErr w:type="spellStart"/>
      <w:r>
        <w:t>dohody</w:t>
      </w:r>
      <w:proofErr w:type="spellEnd"/>
    </w:p>
  </w:footnote>
  <w:footnote w:id="8">
    <w:p w14:paraId="385B741A" w14:textId="77777777" w:rsidR="0016633D" w:rsidRPr="0071245E" w:rsidRDefault="0016633D" w:rsidP="0016633D">
      <w:pPr>
        <w:pStyle w:val="Textpoznmkypodiarou"/>
      </w:pPr>
      <w:r w:rsidRPr="0071245E">
        <w:rPr>
          <w:rStyle w:val="Odkaznapoznmkupodiarou"/>
        </w:rPr>
        <w:footnoteRef/>
      </w:r>
      <w:r>
        <w:t xml:space="preserve"> </w:t>
      </w:r>
      <w:proofErr w:type="spellStart"/>
      <w:r>
        <w:t>napr</w:t>
      </w:r>
      <w:proofErr w:type="spellEnd"/>
      <w:r>
        <w:t xml:space="preserve">. </w:t>
      </w:r>
      <w:proofErr w:type="spellStart"/>
      <w:r>
        <w:t>ak</w:t>
      </w:r>
      <w:proofErr w:type="spellEnd"/>
      <w:r>
        <w:t xml:space="preserve"> je </w:t>
      </w:r>
      <w:proofErr w:type="spellStart"/>
      <w:r>
        <w:t>rámcová</w:t>
      </w:r>
      <w:proofErr w:type="spellEnd"/>
      <w:r>
        <w:t xml:space="preserve"> </w:t>
      </w:r>
      <w:proofErr w:type="spellStart"/>
      <w:r>
        <w:t>dohoda</w:t>
      </w:r>
      <w:proofErr w:type="spellEnd"/>
      <w:r>
        <w:t xml:space="preserve"> </w:t>
      </w:r>
      <w:proofErr w:type="spellStart"/>
      <w:r>
        <w:t>uzavretá</w:t>
      </w:r>
      <w:proofErr w:type="spellEnd"/>
      <w:r>
        <w:t xml:space="preserve"> </w:t>
      </w:r>
      <w:proofErr w:type="spellStart"/>
      <w:r>
        <w:t>na</w:t>
      </w:r>
      <w:proofErr w:type="spellEnd"/>
      <w:r>
        <w:t xml:space="preserve"> </w:t>
      </w:r>
      <w:proofErr w:type="spellStart"/>
      <w:r>
        <w:t>obdobie</w:t>
      </w:r>
      <w:proofErr w:type="spellEnd"/>
      <w:r>
        <w:t xml:space="preserve"> </w:t>
      </w:r>
      <w:proofErr w:type="spellStart"/>
      <w:r>
        <w:t>presahujúce</w:t>
      </w:r>
      <w:proofErr w:type="spellEnd"/>
      <w:r>
        <w:t xml:space="preserve"> 4 </w:t>
      </w:r>
      <w:proofErr w:type="spellStart"/>
      <w:r>
        <w:t>roky</w:t>
      </w:r>
      <w:proofErr w:type="spellEnd"/>
      <w:r>
        <w:t xml:space="preserve">, </w:t>
      </w:r>
      <w:proofErr w:type="spellStart"/>
      <w:r>
        <w:t>pričom</w:t>
      </w:r>
      <w:proofErr w:type="spellEnd"/>
      <w:r>
        <w:t xml:space="preserve"> </w:t>
      </w:r>
      <w:proofErr w:type="spellStart"/>
      <w:r>
        <w:t>nejde</w:t>
      </w:r>
      <w:proofErr w:type="spellEnd"/>
      <w:r>
        <w:t xml:space="preserve"> o </w:t>
      </w:r>
      <w:proofErr w:type="spellStart"/>
      <w:r>
        <w:t>výnimočný</w:t>
      </w:r>
      <w:proofErr w:type="spellEnd"/>
      <w:r>
        <w:t xml:space="preserve"> </w:t>
      </w:r>
      <w:proofErr w:type="spellStart"/>
      <w:r>
        <w:t>prípad</w:t>
      </w:r>
      <w:proofErr w:type="spellEnd"/>
      <w:r>
        <w:t xml:space="preserve"> </w:t>
      </w:r>
      <w:proofErr w:type="spellStart"/>
      <w:r>
        <w:t>odôvodnení</w:t>
      </w:r>
      <w:proofErr w:type="spellEnd"/>
      <w:r>
        <w:t xml:space="preserve"> </w:t>
      </w:r>
      <w:proofErr w:type="spellStart"/>
      <w:r>
        <w:t>predmetom</w:t>
      </w:r>
      <w:proofErr w:type="spellEnd"/>
      <w:r>
        <w:t xml:space="preserve"> </w:t>
      </w:r>
      <w:proofErr w:type="spellStart"/>
      <w:r>
        <w:t>rámcovej</w:t>
      </w:r>
      <w:proofErr w:type="spellEnd"/>
      <w:r>
        <w:t xml:space="preserve"> </w:t>
      </w:r>
      <w:proofErr w:type="spellStart"/>
      <w:r>
        <w:t>dohody</w:t>
      </w:r>
      <w:proofErr w:type="spellEnd"/>
    </w:p>
  </w:footnote>
  <w:footnote w:id="9">
    <w:p w14:paraId="2781D367" w14:textId="77777777" w:rsidR="0016633D" w:rsidRDefault="0016633D" w:rsidP="0016633D">
      <w:pPr>
        <w:pStyle w:val="Textpoznmkypodiarou"/>
      </w:pPr>
      <w:r>
        <w:rPr>
          <w:rStyle w:val="Odkaznapoznmkupodiarou"/>
        </w:rPr>
        <w:footnoteRef/>
      </w:r>
      <w:r>
        <w:t xml:space="preserve"> </w:t>
      </w:r>
      <w:proofErr w:type="spellStart"/>
      <w:r>
        <w:t>netýka</w:t>
      </w:r>
      <w:proofErr w:type="spellEnd"/>
      <w:r>
        <w:t xml:space="preserve"> </w:t>
      </w:r>
      <w:proofErr w:type="spellStart"/>
      <w:r>
        <w:t>sa</w:t>
      </w:r>
      <w:proofErr w:type="spellEnd"/>
      <w:r>
        <w:t xml:space="preserve"> </w:t>
      </w:r>
      <w:proofErr w:type="spellStart"/>
      <w:r>
        <w:t>postupov</w:t>
      </w:r>
      <w:proofErr w:type="spellEnd"/>
      <w:r>
        <w:t xml:space="preserve"> </w:t>
      </w:r>
      <w:proofErr w:type="spellStart"/>
      <w:r>
        <w:t>zadávania</w:t>
      </w:r>
      <w:proofErr w:type="spellEnd"/>
      <w:r>
        <w:t xml:space="preserve"> </w:t>
      </w:r>
      <w:proofErr w:type="spellStart"/>
      <w:r>
        <w:t>zákazky</w:t>
      </w:r>
      <w:proofErr w:type="spellEnd"/>
      <w:r>
        <w:t xml:space="preserve">, </w:t>
      </w:r>
      <w:proofErr w:type="spellStart"/>
      <w:r>
        <w:t>keď</w:t>
      </w:r>
      <w:proofErr w:type="spellEnd"/>
      <w:r>
        <w:t xml:space="preserve"> </w:t>
      </w:r>
      <w:proofErr w:type="spellStart"/>
      <w:r>
        <w:t>predmet</w:t>
      </w:r>
      <w:proofErr w:type="spellEnd"/>
      <w:r>
        <w:t xml:space="preserve"> </w:t>
      </w:r>
      <w:proofErr w:type="spellStart"/>
      <w:r>
        <w:t>zákazky</w:t>
      </w:r>
      <w:proofErr w:type="spellEnd"/>
      <w:r>
        <w:t xml:space="preserve"> </w:t>
      </w:r>
      <w:proofErr w:type="spellStart"/>
      <w:r>
        <w:t>môže</w:t>
      </w:r>
      <w:proofErr w:type="spellEnd"/>
      <w:r>
        <w:t xml:space="preserve"> </w:t>
      </w:r>
      <w:proofErr w:type="spellStart"/>
      <w:r>
        <w:t>byť</w:t>
      </w:r>
      <w:proofErr w:type="spellEnd"/>
      <w:r>
        <w:t xml:space="preserve"> </w:t>
      </w:r>
      <w:proofErr w:type="spellStart"/>
      <w:r>
        <w:t>upravený</w:t>
      </w:r>
      <w:proofErr w:type="spellEnd"/>
      <w:r>
        <w:t xml:space="preserve"> </w:t>
      </w:r>
      <w:proofErr w:type="spellStart"/>
      <w:r>
        <w:t>na</w:t>
      </w:r>
      <w:proofErr w:type="spellEnd"/>
      <w:r>
        <w:t xml:space="preserve"> </w:t>
      </w:r>
      <w:proofErr w:type="spellStart"/>
      <w:r>
        <w:t>základe</w:t>
      </w:r>
      <w:proofErr w:type="spellEnd"/>
      <w:r>
        <w:t xml:space="preserve"> </w:t>
      </w:r>
      <w:proofErr w:type="spellStart"/>
      <w:r>
        <w:t>výsledkom</w:t>
      </w:r>
      <w:proofErr w:type="spellEnd"/>
      <w:r>
        <w:t xml:space="preserve"> </w:t>
      </w:r>
      <w:proofErr w:type="spellStart"/>
      <w:r>
        <w:t>rokovania</w:t>
      </w:r>
      <w:proofErr w:type="spellEnd"/>
      <w:r>
        <w:t>/</w:t>
      </w:r>
      <w:proofErr w:type="spellStart"/>
      <w:r>
        <w:t>dialógu</w:t>
      </w:r>
      <w:proofErr w:type="spellEnd"/>
      <w:r>
        <w:t xml:space="preserve"> (</w:t>
      </w:r>
      <w:proofErr w:type="spellStart"/>
      <w:r>
        <w:t>priame</w:t>
      </w:r>
      <w:proofErr w:type="spellEnd"/>
      <w:r>
        <w:t xml:space="preserve"> </w:t>
      </w:r>
      <w:proofErr w:type="spellStart"/>
      <w:r>
        <w:t>rokovacie</w:t>
      </w:r>
      <w:proofErr w:type="spellEnd"/>
      <w:r>
        <w:t xml:space="preserve"> </w:t>
      </w:r>
      <w:proofErr w:type="spellStart"/>
      <w:r>
        <w:t>konanie</w:t>
      </w:r>
      <w:proofErr w:type="spellEnd"/>
      <w:r>
        <w:t xml:space="preserve">, </w:t>
      </w:r>
      <w:proofErr w:type="spellStart"/>
      <w:r>
        <w:t>rokovacie</w:t>
      </w:r>
      <w:proofErr w:type="spellEnd"/>
      <w:r>
        <w:t xml:space="preserve"> </w:t>
      </w:r>
      <w:proofErr w:type="spellStart"/>
      <w:r>
        <w:t>konanie</w:t>
      </w:r>
      <w:proofErr w:type="spellEnd"/>
      <w:r>
        <w:t xml:space="preserve"> so </w:t>
      </w:r>
      <w:proofErr w:type="spellStart"/>
      <w:r>
        <w:t>zverejnením</w:t>
      </w:r>
      <w:proofErr w:type="spellEnd"/>
      <w:r>
        <w:t xml:space="preserve">, </w:t>
      </w:r>
      <w:proofErr w:type="spellStart"/>
      <w:r>
        <w:t>súťažný</w:t>
      </w:r>
      <w:proofErr w:type="spellEnd"/>
      <w:r>
        <w:t xml:space="preserve"> </w:t>
      </w:r>
      <w:proofErr w:type="spellStart"/>
      <w:r>
        <w:t>dialóg</w:t>
      </w:r>
      <w:proofErr w:type="spellEnd"/>
      <w:r>
        <w:t xml:space="preserve">, </w:t>
      </w:r>
      <w:proofErr w:type="spellStart"/>
      <w:r>
        <w:t>inovatívne</w:t>
      </w:r>
      <w:proofErr w:type="spellEnd"/>
      <w:r>
        <w:t xml:space="preserve"> </w:t>
      </w:r>
      <w:proofErr w:type="spellStart"/>
      <w:r>
        <w:t>partnerstvo</w:t>
      </w:r>
      <w:proofErr w:type="spellEnd"/>
      <w:r>
        <w:t xml:space="preserve">) </w:t>
      </w:r>
      <w:proofErr w:type="spellStart"/>
      <w:r>
        <w:t>alebo</w:t>
      </w:r>
      <w:proofErr w:type="spellEnd"/>
      <w:r>
        <w:t xml:space="preserve"> </w:t>
      </w:r>
      <w:proofErr w:type="spellStart"/>
      <w:r>
        <w:t>ak</w:t>
      </w:r>
      <w:proofErr w:type="spellEnd"/>
      <w:r>
        <w:t xml:space="preserve"> je </w:t>
      </w:r>
      <w:proofErr w:type="spellStart"/>
      <w:r>
        <w:t>opis</w:t>
      </w:r>
      <w:proofErr w:type="spellEnd"/>
      <w:r>
        <w:t xml:space="preserve"> </w:t>
      </w:r>
      <w:proofErr w:type="spellStart"/>
      <w:r>
        <w:t>predmetu</w:t>
      </w:r>
      <w:proofErr w:type="spellEnd"/>
      <w:r>
        <w:t xml:space="preserve"> </w:t>
      </w:r>
      <w:proofErr w:type="spellStart"/>
      <w:r>
        <w:t>zákazky</w:t>
      </w:r>
      <w:proofErr w:type="spellEnd"/>
      <w:r>
        <w:t xml:space="preserve"> </w:t>
      </w:r>
      <w:proofErr w:type="spellStart"/>
      <w:r>
        <w:t>dodatočne</w:t>
      </w:r>
      <w:proofErr w:type="spellEnd"/>
      <w:r>
        <w:t xml:space="preserve"> </w:t>
      </w:r>
      <w:proofErr w:type="spellStart"/>
      <w:r>
        <w:t>upravený</w:t>
      </w:r>
      <w:proofErr w:type="spellEnd"/>
      <w:r>
        <w:t xml:space="preserve"> </w:t>
      </w:r>
      <w:proofErr w:type="spellStart"/>
      <w:r>
        <w:t>spôsobom</w:t>
      </w:r>
      <w:proofErr w:type="spellEnd"/>
      <w:r>
        <w:t xml:space="preserve">, </w:t>
      </w:r>
      <w:proofErr w:type="spellStart"/>
      <w:r>
        <w:t>ktorý</w:t>
      </w:r>
      <w:proofErr w:type="spellEnd"/>
      <w:r>
        <w:t xml:space="preserve"> je </w:t>
      </w:r>
      <w:proofErr w:type="spellStart"/>
      <w:r>
        <w:t>dostatočný</w:t>
      </w:r>
      <w:proofErr w:type="spellEnd"/>
      <w:r>
        <w:t xml:space="preserve"> a </w:t>
      </w:r>
      <w:proofErr w:type="spellStart"/>
      <w:r>
        <w:t>doplnený</w:t>
      </w:r>
      <w:proofErr w:type="spellEnd"/>
      <w:r>
        <w:t xml:space="preserve"> </w:t>
      </w:r>
      <w:proofErr w:type="spellStart"/>
      <w:r>
        <w:t>opis</w:t>
      </w:r>
      <w:proofErr w:type="spellEnd"/>
      <w:r>
        <w:t xml:space="preserve"> </w:t>
      </w:r>
      <w:proofErr w:type="spellStart"/>
      <w:r>
        <w:t>predmetu</w:t>
      </w:r>
      <w:proofErr w:type="spellEnd"/>
      <w:r>
        <w:t xml:space="preserve"> </w:t>
      </w:r>
      <w:proofErr w:type="spellStart"/>
      <w:r>
        <w:t>zákazky</w:t>
      </w:r>
      <w:proofErr w:type="spellEnd"/>
      <w:r>
        <w:t xml:space="preserve"> </w:t>
      </w:r>
      <w:proofErr w:type="spellStart"/>
      <w:r>
        <w:t>bol</w:t>
      </w:r>
      <w:proofErr w:type="spellEnd"/>
      <w:r>
        <w:t xml:space="preserve"> </w:t>
      </w:r>
      <w:proofErr w:type="spellStart"/>
      <w:r>
        <w:t>zverejnený</w:t>
      </w:r>
      <w:proofErr w:type="spellEnd"/>
      <w:r>
        <w:t xml:space="preserve"> pre </w:t>
      </w:r>
      <w:proofErr w:type="spellStart"/>
      <w:r>
        <w:t>všetkých</w:t>
      </w:r>
      <w:proofErr w:type="spellEnd"/>
      <w:r>
        <w:t xml:space="preserve"> </w:t>
      </w:r>
      <w:proofErr w:type="spellStart"/>
      <w:r>
        <w:t>potenciálnych</w:t>
      </w:r>
      <w:proofErr w:type="spellEnd"/>
      <w:r>
        <w:t xml:space="preserve"> </w:t>
      </w:r>
      <w:proofErr w:type="spellStart"/>
      <w:r>
        <w:t>záujemcov</w:t>
      </w:r>
      <w:proofErr w:type="spellEnd"/>
      <w:r>
        <w:t xml:space="preserve"> a </w:t>
      </w:r>
      <w:proofErr w:type="spellStart"/>
      <w:r>
        <w:t>uchádzačov</w:t>
      </w:r>
      <w:proofErr w:type="spellEnd"/>
    </w:p>
  </w:footnote>
  <w:footnote w:id="10">
    <w:p w14:paraId="3A97D49C" w14:textId="77777777" w:rsidR="0016633D" w:rsidRDefault="0016633D" w:rsidP="0016633D">
      <w:pPr>
        <w:pStyle w:val="Textpoznmkypodiarou"/>
      </w:pPr>
      <w:r>
        <w:rPr>
          <w:rStyle w:val="Odkaznapoznmkupodiarou"/>
        </w:rPr>
        <w:footnoteRef/>
      </w:r>
      <w:r>
        <w:t xml:space="preserve"> </w:t>
      </w:r>
      <w:proofErr w:type="spellStart"/>
      <w:r>
        <w:t>P</w:t>
      </w:r>
      <w:r w:rsidRPr="00C028E5">
        <w:t>odrobnosti</w:t>
      </w:r>
      <w:proofErr w:type="spellEnd"/>
      <w:r w:rsidRPr="00C028E5">
        <w:t xml:space="preserve"> </w:t>
      </w:r>
      <w:proofErr w:type="spellStart"/>
      <w:r w:rsidRPr="00C028E5">
        <w:t>upravuje</w:t>
      </w:r>
      <w:proofErr w:type="spellEnd"/>
      <w:r w:rsidRPr="00C028E5">
        <w:t xml:space="preserve"> </w:t>
      </w:r>
      <w:proofErr w:type="spellStart"/>
      <w:r w:rsidRPr="00C028E5">
        <w:t>Metodický</w:t>
      </w:r>
      <w:proofErr w:type="spellEnd"/>
      <w:r w:rsidRPr="00C028E5">
        <w:t xml:space="preserve"> </w:t>
      </w:r>
      <w:proofErr w:type="spellStart"/>
      <w:r w:rsidRPr="00C028E5">
        <w:t>pokyn</w:t>
      </w:r>
      <w:proofErr w:type="spellEnd"/>
      <w:r w:rsidRPr="00C028E5">
        <w:t xml:space="preserve"> CKO č. 13 </w:t>
      </w:r>
      <w:proofErr w:type="spellStart"/>
      <w:r w:rsidRPr="00C028E5">
        <w:t>ku</w:t>
      </w:r>
      <w:proofErr w:type="spellEnd"/>
      <w:r w:rsidRPr="00C028E5">
        <w:t xml:space="preserve"> </w:t>
      </w:r>
      <w:proofErr w:type="spellStart"/>
      <w:r w:rsidRPr="00C028E5">
        <w:t>konfliktu</w:t>
      </w:r>
      <w:proofErr w:type="spellEnd"/>
      <w:r w:rsidRPr="00C028E5">
        <w:t xml:space="preserve"> </w:t>
      </w:r>
      <w:proofErr w:type="spellStart"/>
      <w:r w:rsidRPr="00C028E5">
        <w:t>záujmov</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2AA8A" w14:textId="3608E1A5" w:rsidR="00503B95" w:rsidRDefault="00503B95" w:rsidP="00503B95">
    <w:pPr>
      <w:pStyle w:val="Hlavik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C3C0A" w14:textId="31C6E340" w:rsidR="00503B95" w:rsidRDefault="00503B95" w:rsidP="00503B95">
    <w:pPr>
      <w:pStyle w:val="Hlavika"/>
      <w:jc w:val="center"/>
    </w:pPr>
    <w:r>
      <w:rPr>
        <w:noProof/>
        <w:lang w:val="sk-SK" w:eastAsia="sk-SK"/>
      </w:rPr>
      <w:drawing>
        <wp:inline distT="0" distB="0" distL="0" distR="0" wp14:anchorId="2E2B2D0E" wp14:editId="53384BF5">
          <wp:extent cx="4554855" cy="767715"/>
          <wp:effectExtent l="0" t="0" r="0" b="0"/>
          <wp:docPr id="3" name="Obrázok 3" descr="cid: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cid: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855" cy="767715"/>
                  </a:xfrm>
                  <a:prstGeom prst="rect">
                    <a:avLst/>
                  </a:prstGeom>
                  <a:noFill/>
                  <a:ln>
                    <a:noFill/>
                  </a:ln>
                </pic:spPr>
              </pic:pic>
            </a:graphicData>
          </a:graphic>
        </wp:inline>
      </w:drawing>
    </w:r>
  </w:p>
  <w:p w14:paraId="7256A58D" w14:textId="77777777" w:rsidR="00503B95" w:rsidRPr="0020152D" w:rsidRDefault="00503B95">
    <w:pPr>
      <w:pStyle w:val="Hlavika"/>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651D22"/>
    <w:multiLevelType w:val="multilevel"/>
    <w:tmpl w:val="8C7A92E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1AA1850"/>
    <w:multiLevelType w:val="hybridMultilevel"/>
    <w:tmpl w:val="0AACEC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26350DA"/>
    <w:multiLevelType w:val="hybridMultilevel"/>
    <w:tmpl w:val="9086F020"/>
    <w:lvl w:ilvl="0" w:tplc="041B0017">
      <w:start w:val="1"/>
      <w:numFmt w:val="lowerLetter"/>
      <w:lvlText w:val="%1)"/>
      <w:lvlJc w:val="left"/>
      <w:pPr>
        <w:tabs>
          <w:tab w:val="num" w:pos="1077"/>
        </w:tabs>
        <w:ind w:left="1077" w:hanging="360"/>
      </w:pPr>
      <w:rPr>
        <w:rFonts w:cs="Times New Roman" w:hint="default"/>
      </w:rPr>
    </w:lvl>
    <w:lvl w:ilvl="1" w:tplc="041B0017">
      <w:start w:val="1"/>
      <w:numFmt w:val="lowerLetter"/>
      <w:lvlText w:val="%2)"/>
      <w:lvlJc w:val="left"/>
      <w:pPr>
        <w:tabs>
          <w:tab w:val="num" w:pos="1797"/>
        </w:tabs>
        <w:ind w:left="1797" w:hanging="360"/>
      </w:pPr>
      <w:rPr>
        <w:rFonts w:cs="Times New Roman" w:hint="default"/>
      </w:rPr>
    </w:lvl>
    <w:lvl w:ilvl="2" w:tplc="3692F300">
      <w:start w:val="1"/>
      <w:numFmt w:val="decimal"/>
      <w:lvlText w:val="%3."/>
      <w:lvlJc w:val="left"/>
      <w:pPr>
        <w:tabs>
          <w:tab w:val="num" w:pos="2517"/>
        </w:tabs>
        <w:ind w:left="2517" w:hanging="360"/>
      </w:pPr>
      <w:rPr>
        <w:rFonts w:cs="Times New Roman" w:hint="default"/>
      </w:rPr>
    </w:lvl>
    <w:lvl w:ilvl="3" w:tplc="B0A8C982">
      <w:start w:val="1"/>
      <w:numFmt w:val="upperRoman"/>
      <w:lvlText w:val="%4."/>
      <w:lvlJc w:val="left"/>
      <w:pPr>
        <w:tabs>
          <w:tab w:val="num" w:pos="3597"/>
        </w:tabs>
        <w:ind w:left="3597" w:hanging="720"/>
      </w:pPr>
      <w:rPr>
        <w:rFonts w:cs="Times New Roman" w:hint="default"/>
      </w:rPr>
    </w:lvl>
    <w:lvl w:ilvl="4" w:tplc="C2C6DE9A">
      <w:start w:val="1"/>
      <w:numFmt w:val="decimal"/>
      <w:lvlText w:val="%5)"/>
      <w:lvlJc w:val="left"/>
      <w:pPr>
        <w:tabs>
          <w:tab w:val="num" w:pos="644"/>
        </w:tabs>
        <w:ind w:left="644" w:hanging="360"/>
      </w:pPr>
      <w:rPr>
        <w:rFonts w:cs="Times New Roman" w:hint="default"/>
      </w:rPr>
    </w:lvl>
    <w:lvl w:ilvl="5" w:tplc="041B0005" w:tentative="1">
      <w:start w:val="1"/>
      <w:numFmt w:val="bullet"/>
      <w:lvlText w:val=""/>
      <w:lvlJc w:val="left"/>
      <w:pPr>
        <w:tabs>
          <w:tab w:val="num" w:pos="4677"/>
        </w:tabs>
        <w:ind w:left="4677" w:hanging="360"/>
      </w:pPr>
      <w:rPr>
        <w:rFonts w:ascii="Wingdings" w:hAnsi="Wingdings" w:hint="default"/>
      </w:rPr>
    </w:lvl>
    <w:lvl w:ilvl="6" w:tplc="041B0001" w:tentative="1">
      <w:start w:val="1"/>
      <w:numFmt w:val="bullet"/>
      <w:lvlText w:val=""/>
      <w:lvlJc w:val="left"/>
      <w:pPr>
        <w:tabs>
          <w:tab w:val="num" w:pos="5397"/>
        </w:tabs>
        <w:ind w:left="5397" w:hanging="360"/>
      </w:pPr>
      <w:rPr>
        <w:rFonts w:ascii="Symbol" w:hAnsi="Symbol" w:hint="default"/>
      </w:rPr>
    </w:lvl>
    <w:lvl w:ilvl="7" w:tplc="041B0003" w:tentative="1">
      <w:start w:val="1"/>
      <w:numFmt w:val="bullet"/>
      <w:lvlText w:val="o"/>
      <w:lvlJc w:val="left"/>
      <w:pPr>
        <w:tabs>
          <w:tab w:val="num" w:pos="6117"/>
        </w:tabs>
        <w:ind w:left="6117" w:hanging="360"/>
      </w:pPr>
      <w:rPr>
        <w:rFonts w:ascii="Courier New" w:hAnsi="Courier New" w:hint="default"/>
      </w:rPr>
    </w:lvl>
    <w:lvl w:ilvl="8" w:tplc="041B0005" w:tentative="1">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02924838"/>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03661656"/>
    <w:multiLevelType w:val="hybridMultilevel"/>
    <w:tmpl w:val="78CA842C"/>
    <w:lvl w:ilvl="0" w:tplc="1EE6E65E">
      <w:start w:val="1"/>
      <w:numFmt w:val="bullet"/>
      <w:lvlText w:val=""/>
      <w:lvlJc w:val="left"/>
      <w:pPr>
        <w:ind w:left="1440" w:hanging="360"/>
      </w:pPr>
      <w:rPr>
        <w:rFonts w:ascii="Symbol" w:hAnsi="Symbol" w:hint="default"/>
        <w:sz w:val="20"/>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05C0567A"/>
    <w:multiLevelType w:val="hybridMultilevel"/>
    <w:tmpl w:val="AC966BDE"/>
    <w:lvl w:ilvl="0" w:tplc="816A2648">
      <w:start w:val="1"/>
      <w:numFmt w:val="lowerLetter"/>
      <w:lvlText w:val="%1)"/>
      <w:lvlJc w:val="left"/>
      <w:pPr>
        <w:ind w:left="720" w:hanging="360"/>
      </w:pPr>
      <w:rPr>
        <w:rFonts w:ascii="Arial" w:eastAsia="Times New Roman" w:hAnsi="Arial"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62E307A"/>
    <w:multiLevelType w:val="hybridMultilevel"/>
    <w:tmpl w:val="CCFC83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4507AC"/>
    <w:multiLevelType w:val="hybridMultilevel"/>
    <w:tmpl w:val="20083FA0"/>
    <w:lvl w:ilvl="0" w:tplc="041B0017">
      <w:start w:val="1"/>
      <w:numFmt w:val="lowerLetter"/>
      <w:lvlText w:val="%1)"/>
      <w:lvlJc w:val="left"/>
      <w:pPr>
        <w:tabs>
          <w:tab w:val="num" w:pos="380"/>
        </w:tabs>
        <w:ind w:left="380" w:hanging="360"/>
      </w:pPr>
      <w:rPr>
        <w:rFonts w:ascii="Times New Roman" w:hAnsi="Times New Roman" w:cs="Times New Roman" w:hint="default"/>
      </w:rPr>
    </w:lvl>
    <w:lvl w:ilvl="1" w:tplc="041B0019">
      <w:start w:val="1"/>
      <w:numFmt w:val="lowerLetter"/>
      <w:lvlText w:val="%2."/>
      <w:lvlJc w:val="left"/>
      <w:pPr>
        <w:tabs>
          <w:tab w:val="num" w:pos="1100"/>
        </w:tabs>
        <w:ind w:left="1100" w:hanging="360"/>
      </w:pPr>
      <w:rPr>
        <w:rFonts w:ascii="Times New Roman" w:hAnsi="Times New Roman" w:cs="Times New Roman"/>
      </w:rPr>
    </w:lvl>
    <w:lvl w:ilvl="2" w:tplc="041B001B">
      <w:start w:val="1"/>
      <w:numFmt w:val="lowerRoman"/>
      <w:lvlText w:val="%3."/>
      <w:lvlJc w:val="right"/>
      <w:pPr>
        <w:tabs>
          <w:tab w:val="num" w:pos="1820"/>
        </w:tabs>
        <w:ind w:left="1820" w:hanging="180"/>
      </w:pPr>
      <w:rPr>
        <w:rFonts w:ascii="Times New Roman" w:hAnsi="Times New Roman" w:cs="Times New Roman"/>
      </w:rPr>
    </w:lvl>
    <w:lvl w:ilvl="3" w:tplc="041B000F">
      <w:start w:val="1"/>
      <w:numFmt w:val="decimal"/>
      <w:lvlText w:val="%4."/>
      <w:lvlJc w:val="left"/>
      <w:pPr>
        <w:tabs>
          <w:tab w:val="num" w:pos="2540"/>
        </w:tabs>
        <w:ind w:left="2540" w:hanging="360"/>
      </w:pPr>
      <w:rPr>
        <w:rFonts w:ascii="Times New Roman" w:hAnsi="Times New Roman" w:cs="Times New Roman"/>
      </w:rPr>
    </w:lvl>
    <w:lvl w:ilvl="4" w:tplc="041B0019">
      <w:start w:val="1"/>
      <w:numFmt w:val="lowerLetter"/>
      <w:lvlText w:val="%5."/>
      <w:lvlJc w:val="left"/>
      <w:pPr>
        <w:tabs>
          <w:tab w:val="num" w:pos="3260"/>
        </w:tabs>
        <w:ind w:left="3260" w:hanging="360"/>
      </w:pPr>
      <w:rPr>
        <w:rFonts w:ascii="Times New Roman" w:hAnsi="Times New Roman" w:cs="Times New Roman"/>
      </w:rPr>
    </w:lvl>
    <w:lvl w:ilvl="5" w:tplc="041B001B">
      <w:start w:val="1"/>
      <w:numFmt w:val="lowerRoman"/>
      <w:lvlText w:val="%6."/>
      <w:lvlJc w:val="right"/>
      <w:pPr>
        <w:tabs>
          <w:tab w:val="num" w:pos="3980"/>
        </w:tabs>
        <w:ind w:left="3980" w:hanging="180"/>
      </w:pPr>
      <w:rPr>
        <w:rFonts w:ascii="Times New Roman" w:hAnsi="Times New Roman" w:cs="Times New Roman"/>
      </w:rPr>
    </w:lvl>
    <w:lvl w:ilvl="6" w:tplc="041B000F">
      <w:start w:val="1"/>
      <w:numFmt w:val="decimal"/>
      <w:lvlText w:val="%7."/>
      <w:lvlJc w:val="left"/>
      <w:pPr>
        <w:tabs>
          <w:tab w:val="num" w:pos="4700"/>
        </w:tabs>
        <w:ind w:left="4700" w:hanging="360"/>
      </w:pPr>
      <w:rPr>
        <w:rFonts w:ascii="Times New Roman" w:hAnsi="Times New Roman" w:cs="Times New Roman"/>
      </w:rPr>
    </w:lvl>
    <w:lvl w:ilvl="7" w:tplc="041B0019">
      <w:start w:val="1"/>
      <w:numFmt w:val="lowerLetter"/>
      <w:lvlText w:val="%8."/>
      <w:lvlJc w:val="left"/>
      <w:pPr>
        <w:tabs>
          <w:tab w:val="num" w:pos="5420"/>
        </w:tabs>
        <w:ind w:left="5420" w:hanging="360"/>
      </w:pPr>
      <w:rPr>
        <w:rFonts w:ascii="Times New Roman" w:hAnsi="Times New Roman" w:cs="Times New Roman"/>
      </w:rPr>
    </w:lvl>
    <w:lvl w:ilvl="8" w:tplc="041B001B">
      <w:start w:val="1"/>
      <w:numFmt w:val="lowerRoman"/>
      <w:lvlText w:val="%9."/>
      <w:lvlJc w:val="right"/>
      <w:pPr>
        <w:tabs>
          <w:tab w:val="num" w:pos="6140"/>
        </w:tabs>
        <w:ind w:left="6140" w:hanging="180"/>
      </w:pPr>
      <w:rPr>
        <w:rFonts w:ascii="Times New Roman" w:hAnsi="Times New Roman" w:cs="Times New Roman"/>
      </w:rPr>
    </w:lvl>
  </w:abstractNum>
  <w:abstractNum w:abstractNumId="11" w15:restartNumberingAfterBreak="0">
    <w:nsid w:val="08E318E7"/>
    <w:multiLevelType w:val="hybridMultilevel"/>
    <w:tmpl w:val="3A16D54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0A3303CB"/>
    <w:multiLevelType w:val="hybridMultilevel"/>
    <w:tmpl w:val="4CD642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BAE40E5"/>
    <w:multiLevelType w:val="hybridMultilevel"/>
    <w:tmpl w:val="7666C56A"/>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C472A80"/>
    <w:multiLevelType w:val="hybridMultilevel"/>
    <w:tmpl w:val="70C6E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FD0743"/>
    <w:multiLevelType w:val="hybridMultilevel"/>
    <w:tmpl w:val="2D1ACDE4"/>
    <w:lvl w:ilvl="0" w:tplc="041B0001">
      <w:start w:val="1"/>
      <w:numFmt w:val="bullet"/>
      <w:lvlText w:val=""/>
      <w:lvlJc w:val="left"/>
      <w:pPr>
        <w:tabs>
          <w:tab w:val="num" w:pos="1080"/>
        </w:tabs>
        <w:ind w:left="1080" w:hanging="360"/>
      </w:pPr>
      <w:rPr>
        <w:rFonts w:ascii="Symbol" w:hAnsi="Symbol" w:cs="Times New Roman" w:hint="default"/>
      </w:rPr>
    </w:lvl>
    <w:lvl w:ilvl="1" w:tplc="886AAF00">
      <w:start w:val="1"/>
      <w:numFmt w:val="lowerLetter"/>
      <w:lvlText w:val="%2."/>
      <w:lvlJc w:val="left"/>
      <w:pPr>
        <w:tabs>
          <w:tab w:val="num" w:pos="1800"/>
        </w:tabs>
        <w:ind w:left="1800" w:hanging="360"/>
      </w:pPr>
      <w:rPr>
        <w:rFonts w:ascii="Times New Roman" w:hAnsi="Times New Roman" w:cs="Times New Roman" w:hint="default"/>
      </w:rPr>
    </w:lvl>
    <w:lvl w:ilvl="2" w:tplc="1F3C80DA">
      <w:start w:val="8"/>
      <w:numFmt w:val="bullet"/>
      <w:lvlText w:val="-"/>
      <w:lvlJc w:val="left"/>
      <w:pPr>
        <w:tabs>
          <w:tab w:val="num" w:pos="2700"/>
        </w:tabs>
        <w:ind w:left="2700" w:hanging="360"/>
      </w:pPr>
      <w:rPr>
        <w:rFonts w:ascii="Times New Roman" w:eastAsia="Times New Roman" w:hAnsi="Times New Roman" w:hint="default"/>
      </w:rPr>
    </w:lvl>
    <w:lvl w:ilvl="3" w:tplc="1C1CB250">
      <w:start w:val="1"/>
      <w:numFmt w:val="lowerLetter"/>
      <w:lvlText w:val="%4)"/>
      <w:lvlJc w:val="left"/>
      <w:pPr>
        <w:tabs>
          <w:tab w:val="num" w:pos="3855"/>
        </w:tabs>
        <w:ind w:left="3855" w:hanging="975"/>
      </w:pPr>
      <w:rPr>
        <w:rFonts w:ascii="Times New Roman" w:hAnsi="Times New Roman" w:cs="Times New Roman" w:hint="default"/>
        <w:b w:val="0"/>
      </w:rPr>
    </w:lvl>
    <w:lvl w:ilvl="4" w:tplc="041B0019">
      <w:start w:val="1"/>
      <w:numFmt w:val="lowerLetter"/>
      <w:lvlText w:val="%5."/>
      <w:lvlJc w:val="left"/>
      <w:pPr>
        <w:tabs>
          <w:tab w:val="num" w:pos="3960"/>
        </w:tabs>
        <w:ind w:left="3960" w:hanging="360"/>
      </w:pPr>
      <w:rPr>
        <w:rFonts w:ascii="Times New Roman" w:hAnsi="Times New Roman" w:cs="Times New Roman"/>
      </w:rPr>
    </w:lvl>
    <w:lvl w:ilvl="5" w:tplc="041B001B">
      <w:start w:val="1"/>
      <w:numFmt w:val="lowerRoman"/>
      <w:lvlText w:val="%6."/>
      <w:lvlJc w:val="right"/>
      <w:pPr>
        <w:tabs>
          <w:tab w:val="num" w:pos="4680"/>
        </w:tabs>
        <w:ind w:left="4680" w:hanging="180"/>
      </w:pPr>
      <w:rPr>
        <w:rFonts w:ascii="Times New Roman" w:hAnsi="Times New Roman" w:cs="Times New Roman"/>
      </w:rPr>
    </w:lvl>
    <w:lvl w:ilvl="6" w:tplc="041B000F">
      <w:start w:val="1"/>
      <w:numFmt w:val="decimal"/>
      <w:lvlText w:val="%7."/>
      <w:lvlJc w:val="left"/>
      <w:pPr>
        <w:tabs>
          <w:tab w:val="num" w:pos="5400"/>
        </w:tabs>
        <w:ind w:left="5400" w:hanging="360"/>
      </w:pPr>
      <w:rPr>
        <w:rFonts w:ascii="Times New Roman" w:hAnsi="Times New Roman" w:cs="Times New Roman"/>
      </w:rPr>
    </w:lvl>
    <w:lvl w:ilvl="7" w:tplc="041B0019">
      <w:start w:val="1"/>
      <w:numFmt w:val="lowerLetter"/>
      <w:lvlText w:val="%8."/>
      <w:lvlJc w:val="left"/>
      <w:pPr>
        <w:tabs>
          <w:tab w:val="num" w:pos="6120"/>
        </w:tabs>
        <w:ind w:left="6120" w:hanging="360"/>
      </w:pPr>
      <w:rPr>
        <w:rFonts w:ascii="Times New Roman" w:hAnsi="Times New Roman" w:cs="Times New Roman"/>
      </w:rPr>
    </w:lvl>
    <w:lvl w:ilvl="8" w:tplc="041B001B">
      <w:start w:val="1"/>
      <w:numFmt w:val="lowerRoman"/>
      <w:lvlText w:val="%9."/>
      <w:lvlJc w:val="right"/>
      <w:pPr>
        <w:tabs>
          <w:tab w:val="num" w:pos="6840"/>
        </w:tabs>
        <w:ind w:left="6840" w:hanging="180"/>
      </w:pPr>
      <w:rPr>
        <w:rFonts w:ascii="Times New Roman" w:hAnsi="Times New Roman" w:cs="Times New Roman"/>
      </w:rPr>
    </w:lvl>
  </w:abstractNum>
  <w:abstractNum w:abstractNumId="18" w15:restartNumberingAfterBreak="0">
    <w:nsid w:val="0D1471C4"/>
    <w:multiLevelType w:val="hybridMultilevel"/>
    <w:tmpl w:val="8E6AF9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0D4B2874"/>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EA202E8"/>
    <w:multiLevelType w:val="multilevel"/>
    <w:tmpl w:val="E24E6C7A"/>
    <w:lvl w:ilvl="0">
      <w:start w:val="1"/>
      <w:numFmt w:val="decimal"/>
      <w:lvlText w:val="%1."/>
      <w:lvlJc w:val="left"/>
      <w:pPr>
        <w:ind w:left="720" w:hanging="360"/>
      </w:pPr>
      <w:rPr>
        <w:rFonts w:eastAsiaTheme="minorHAnsi" w:hint="default"/>
      </w:rPr>
    </w:lvl>
    <w:lvl w:ilvl="1">
      <w:start w:val="1"/>
      <w:numFmt w:val="decimal"/>
      <w:isLgl/>
      <w:lvlText w:val="%1.%2"/>
      <w:lvlJc w:val="left"/>
      <w:pPr>
        <w:ind w:left="822" w:hanging="396"/>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1" w15:restartNumberingAfterBreak="0">
    <w:nsid w:val="11C01DC3"/>
    <w:multiLevelType w:val="multilevel"/>
    <w:tmpl w:val="F1D64C8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1DF5767"/>
    <w:multiLevelType w:val="multilevel"/>
    <w:tmpl w:val="7B642684"/>
    <w:lvl w:ilvl="0">
      <w:start w:val="1"/>
      <w:numFmt w:val="decimal"/>
      <w:lvlText w:val="%1"/>
      <w:lvlJc w:val="left"/>
      <w:pPr>
        <w:ind w:left="432" w:hanging="432"/>
      </w:pPr>
      <w:rPr>
        <w:rFonts w:cs="Times New Roman" w:hint="default"/>
      </w:rPr>
    </w:lvl>
    <w:lvl w:ilvl="1">
      <w:start w:val="1"/>
      <w:numFmt w:val="decimal"/>
      <w:lvlText w:val="2.%2."/>
      <w:lvlJc w:val="left"/>
      <w:pPr>
        <w:ind w:left="576" w:hanging="576"/>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3" w15:restartNumberingAfterBreak="0">
    <w:nsid w:val="12D47947"/>
    <w:multiLevelType w:val="hybridMultilevel"/>
    <w:tmpl w:val="F880E2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3376259"/>
    <w:multiLevelType w:val="hybridMultilevel"/>
    <w:tmpl w:val="BF14FC3A"/>
    <w:lvl w:ilvl="0" w:tplc="111CDD0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38871B5"/>
    <w:multiLevelType w:val="hybridMultilevel"/>
    <w:tmpl w:val="F1C0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7"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8" w15:restartNumberingAfterBreak="0">
    <w:nsid w:val="15A46F33"/>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29" w15:restartNumberingAfterBreak="0">
    <w:nsid w:val="165A2FF4"/>
    <w:multiLevelType w:val="hybridMultilevel"/>
    <w:tmpl w:val="8A347E94"/>
    <w:lvl w:ilvl="0" w:tplc="933CF114">
      <w:start w:val="1"/>
      <w:numFmt w:val="bullet"/>
      <w:lvlText w:val=""/>
      <w:lvlJc w:val="left"/>
      <w:pPr>
        <w:tabs>
          <w:tab w:val="num" w:pos="720"/>
        </w:tabs>
        <w:ind w:left="737" w:hanging="737"/>
      </w:pPr>
      <w:rPr>
        <w:rFonts w:ascii="Symbol" w:hAnsi="Symbol" w:hint="default"/>
        <w:sz w:val="20"/>
      </w:rPr>
    </w:lvl>
    <w:lvl w:ilvl="1" w:tplc="3F621336">
      <w:start w:val="1"/>
      <w:numFmt w:val="bullet"/>
      <w:lvlText w:val=""/>
      <w:lvlJc w:val="left"/>
      <w:pPr>
        <w:tabs>
          <w:tab w:val="num" w:pos="1440"/>
        </w:tabs>
        <w:ind w:left="1440" w:hanging="360"/>
      </w:pPr>
      <w:rPr>
        <w:rFonts w:ascii="Symbol" w:hAnsi="Symbol" w:hint="default"/>
        <w:sz w:val="20"/>
      </w:rPr>
    </w:lvl>
    <w:lvl w:ilvl="2" w:tplc="4C8027C4" w:tentative="1">
      <w:start w:val="1"/>
      <w:numFmt w:val="bullet"/>
      <w:lvlText w:val=""/>
      <w:lvlJc w:val="left"/>
      <w:pPr>
        <w:tabs>
          <w:tab w:val="num" w:pos="2160"/>
        </w:tabs>
        <w:ind w:left="2160" w:hanging="360"/>
      </w:pPr>
      <w:rPr>
        <w:rFonts w:ascii="Wingdings" w:hAnsi="Wingdings" w:hint="default"/>
      </w:rPr>
    </w:lvl>
    <w:lvl w:ilvl="3" w:tplc="F43E73A2" w:tentative="1">
      <w:start w:val="1"/>
      <w:numFmt w:val="bullet"/>
      <w:lvlText w:val=""/>
      <w:lvlJc w:val="left"/>
      <w:pPr>
        <w:tabs>
          <w:tab w:val="num" w:pos="2880"/>
        </w:tabs>
        <w:ind w:left="2880" w:hanging="360"/>
      </w:pPr>
      <w:rPr>
        <w:rFonts w:ascii="Symbol" w:hAnsi="Symbol" w:hint="default"/>
      </w:rPr>
    </w:lvl>
    <w:lvl w:ilvl="4" w:tplc="9402BF64" w:tentative="1">
      <w:start w:val="1"/>
      <w:numFmt w:val="bullet"/>
      <w:lvlText w:val="o"/>
      <w:lvlJc w:val="left"/>
      <w:pPr>
        <w:tabs>
          <w:tab w:val="num" w:pos="3600"/>
        </w:tabs>
        <w:ind w:left="3600" w:hanging="360"/>
      </w:pPr>
      <w:rPr>
        <w:rFonts w:ascii="Courier New" w:hAnsi="Courier New" w:cs="Courier New" w:hint="default"/>
      </w:rPr>
    </w:lvl>
    <w:lvl w:ilvl="5" w:tplc="D8AE2DE2" w:tentative="1">
      <w:start w:val="1"/>
      <w:numFmt w:val="bullet"/>
      <w:lvlText w:val=""/>
      <w:lvlJc w:val="left"/>
      <w:pPr>
        <w:tabs>
          <w:tab w:val="num" w:pos="4320"/>
        </w:tabs>
        <w:ind w:left="4320" w:hanging="360"/>
      </w:pPr>
      <w:rPr>
        <w:rFonts w:ascii="Wingdings" w:hAnsi="Wingdings" w:hint="default"/>
      </w:rPr>
    </w:lvl>
    <w:lvl w:ilvl="6" w:tplc="AACA72E2" w:tentative="1">
      <w:start w:val="1"/>
      <w:numFmt w:val="bullet"/>
      <w:lvlText w:val=""/>
      <w:lvlJc w:val="left"/>
      <w:pPr>
        <w:tabs>
          <w:tab w:val="num" w:pos="5040"/>
        </w:tabs>
        <w:ind w:left="5040" w:hanging="360"/>
      </w:pPr>
      <w:rPr>
        <w:rFonts w:ascii="Symbol" w:hAnsi="Symbol" w:hint="default"/>
      </w:rPr>
    </w:lvl>
    <w:lvl w:ilvl="7" w:tplc="C284C68A" w:tentative="1">
      <w:start w:val="1"/>
      <w:numFmt w:val="bullet"/>
      <w:lvlText w:val="o"/>
      <w:lvlJc w:val="left"/>
      <w:pPr>
        <w:tabs>
          <w:tab w:val="num" w:pos="5760"/>
        </w:tabs>
        <w:ind w:left="5760" w:hanging="360"/>
      </w:pPr>
      <w:rPr>
        <w:rFonts w:ascii="Courier New" w:hAnsi="Courier New" w:cs="Courier New" w:hint="default"/>
      </w:rPr>
    </w:lvl>
    <w:lvl w:ilvl="8" w:tplc="1E82B7C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71B174D"/>
    <w:multiLevelType w:val="hybridMultilevel"/>
    <w:tmpl w:val="A164F280"/>
    <w:lvl w:ilvl="0" w:tplc="D73CB7F2">
      <w:start w:val="1"/>
      <w:numFmt w:val="decimal"/>
      <w:lvlText w:val="%1."/>
      <w:lvlJc w:val="left"/>
      <w:pPr>
        <w:ind w:left="1350" w:hanging="360"/>
      </w:pPr>
      <w:rPr>
        <w:b w:val="0"/>
      </w:rPr>
    </w:lvl>
    <w:lvl w:ilvl="1" w:tplc="041B0019">
      <w:start w:val="1"/>
      <w:numFmt w:val="lowerLetter"/>
      <w:lvlText w:val="%2."/>
      <w:lvlJc w:val="left"/>
      <w:pPr>
        <w:ind w:left="2070" w:hanging="360"/>
      </w:pPr>
    </w:lvl>
    <w:lvl w:ilvl="2" w:tplc="041B001B">
      <w:start w:val="1"/>
      <w:numFmt w:val="lowerRoman"/>
      <w:lvlText w:val="%3."/>
      <w:lvlJc w:val="right"/>
      <w:pPr>
        <w:ind w:left="2790" w:hanging="180"/>
      </w:pPr>
    </w:lvl>
    <w:lvl w:ilvl="3" w:tplc="041B000F">
      <w:start w:val="1"/>
      <w:numFmt w:val="decimal"/>
      <w:lvlText w:val="%4."/>
      <w:lvlJc w:val="left"/>
      <w:pPr>
        <w:ind w:left="3510" w:hanging="360"/>
      </w:pPr>
    </w:lvl>
    <w:lvl w:ilvl="4" w:tplc="041B0019">
      <w:start w:val="1"/>
      <w:numFmt w:val="lowerLetter"/>
      <w:lvlText w:val="%5."/>
      <w:lvlJc w:val="left"/>
      <w:pPr>
        <w:ind w:left="4230" w:hanging="360"/>
      </w:pPr>
    </w:lvl>
    <w:lvl w:ilvl="5" w:tplc="041B001B">
      <w:start w:val="1"/>
      <w:numFmt w:val="lowerRoman"/>
      <w:lvlText w:val="%6."/>
      <w:lvlJc w:val="right"/>
      <w:pPr>
        <w:ind w:left="4950" w:hanging="180"/>
      </w:pPr>
    </w:lvl>
    <w:lvl w:ilvl="6" w:tplc="041B000F">
      <w:start w:val="1"/>
      <w:numFmt w:val="decimal"/>
      <w:lvlText w:val="%7."/>
      <w:lvlJc w:val="left"/>
      <w:pPr>
        <w:ind w:left="5670" w:hanging="360"/>
      </w:pPr>
    </w:lvl>
    <w:lvl w:ilvl="7" w:tplc="041B0019">
      <w:start w:val="1"/>
      <w:numFmt w:val="lowerLetter"/>
      <w:lvlText w:val="%8."/>
      <w:lvlJc w:val="left"/>
      <w:pPr>
        <w:ind w:left="6390" w:hanging="360"/>
      </w:pPr>
    </w:lvl>
    <w:lvl w:ilvl="8" w:tplc="041B001B">
      <w:start w:val="1"/>
      <w:numFmt w:val="lowerRoman"/>
      <w:lvlText w:val="%9."/>
      <w:lvlJc w:val="right"/>
      <w:pPr>
        <w:ind w:left="7110" w:hanging="180"/>
      </w:pPr>
    </w:lvl>
  </w:abstractNum>
  <w:abstractNum w:abstractNumId="32" w15:restartNumberingAfterBreak="0">
    <w:nsid w:val="186F7DEE"/>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8EB1B03"/>
    <w:multiLevelType w:val="hybridMultilevel"/>
    <w:tmpl w:val="2B84B44A"/>
    <w:lvl w:ilvl="0" w:tplc="1EE6E65E">
      <w:start w:val="1"/>
      <w:numFmt w:val="bullet"/>
      <w:lvlText w:val=""/>
      <w:lvlJc w:val="left"/>
      <w:pPr>
        <w:ind w:left="720" w:hanging="360"/>
      </w:pPr>
      <w:rPr>
        <w:rFonts w:ascii="Symbol" w:hAnsi="Symbol" w:hint="default"/>
      </w:rPr>
    </w:lvl>
    <w:lvl w:ilvl="1" w:tplc="68F60240">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1A0B3D55"/>
    <w:multiLevelType w:val="hybridMultilevel"/>
    <w:tmpl w:val="D95E62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6" w15:restartNumberingAfterBreak="0">
    <w:nsid w:val="1B8C0590"/>
    <w:multiLevelType w:val="hybridMultilevel"/>
    <w:tmpl w:val="2452DD40"/>
    <w:lvl w:ilvl="0" w:tplc="B97C5B96">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37" w15:restartNumberingAfterBreak="0">
    <w:nsid w:val="1BE4332A"/>
    <w:multiLevelType w:val="hybridMultilevel"/>
    <w:tmpl w:val="A36CE9EA"/>
    <w:lvl w:ilvl="0" w:tplc="84AC27C6">
      <w:start w:val="1"/>
      <w:numFmt w:val="decimal"/>
      <w:lvlText w:val="%1."/>
      <w:lvlJc w:val="left"/>
      <w:pPr>
        <w:tabs>
          <w:tab w:val="num" w:pos="540"/>
        </w:tabs>
        <w:ind w:left="540" w:hanging="360"/>
      </w:pPr>
      <w:rPr>
        <w:rFonts w:hint="default"/>
      </w:rPr>
    </w:lvl>
    <w:lvl w:ilvl="1" w:tplc="041B0019">
      <w:start w:val="1"/>
      <w:numFmt w:val="lowerLetter"/>
      <w:lvlText w:val="%2)"/>
      <w:lvlJc w:val="left"/>
      <w:pPr>
        <w:tabs>
          <w:tab w:val="num" w:pos="1260"/>
        </w:tabs>
        <w:ind w:left="1260" w:hanging="360"/>
      </w:pPr>
      <w:rPr>
        <w:rFonts w:hint="default"/>
      </w:rPr>
    </w:lvl>
    <w:lvl w:ilvl="2" w:tplc="041B001B">
      <w:start w:val="1"/>
      <w:numFmt w:val="decimal"/>
      <w:lvlText w:val="%3."/>
      <w:lvlJc w:val="left"/>
      <w:pPr>
        <w:tabs>
          <w:tab w:val="num" w:pos="1980"/>
        </w:tabs>
        <w:ind w:left="1980" w:hanging="360"/>
      </w:pPr>
    </w:lvl>
    <w:lvl w:ilvl="3" w:tplc="041B000F">
      <w:start w:val="1"/>
      <w:numFmt w:val="decimal"/>
      <w:lvlText w:val="%4."/>
      <w:lvlJc w:val="left"/>
      <w:pPr>
        <w:tabs>
          <w:tab w:val="num" w:pos="2700"/>
        </w:tabs>
        <w:ind w:left="2700" w:hanging="360"/>
      </w:pPr>
    </w:lvl>
    <w:lvl w:ilvl="4" w:tplc="041B0019">
      <w:start w:val="1"/>
      <w:numFmt w:val="decimal"/>
      <w:lvlText w:val="%5."/>
      <w:lvlJc w:val="left"/>
      <w:pPr>
        <w:tabs>
          <w:tab w:val="num" w:pos="3420"/>
        </w:tabs>
        <w:ind w:left="3420" w:hanging="360"/>
      </w:pPr>
    </w:lvl>
    <w:lvl w:ilvl="5" w:tplc="041B001B">
      <w:start w:val="1"/>
      <w:numFmt w:val="decimal"/>
      <w:lvlText w:val="%6."/>
      <w:lvlJc w:val="left"/>
      <w:pPr>
        <w:tabs>
          <w:tab w:val="num" w:pos="4140"/>
        </w:tabs>
        <w:ind w:left="4140" w:hanging="360"/>
      </w:pPr>
    </w:lvl>
    <w:lvl w:ilvl="6" w:tplc="041B000F">
      <w:start w:val="1"/>
      <w:numFmt w:val="decimal"/>
      <w:lvlText w:val="%7."/>
      <w:lvlJc w:val="left"/>
      <w:pPr>
        <w:tabs>
          <w:tab w:val="num" w:pos="4860"/>
        </w:tabs>
        <w:ind w:left="4860" w:hanging="360"/>
      </w:pPr>
    </w:lvl>
    <w:lvl w:ilvl="7" w:tplc="041B0019">
      <w:start w:val="1"/>
      <w:numFmt w:val="decimal"/>
      <w:lvlText w:val="%8."/>
      <w:lvlJc w:val="left"/>
      <w:pPr>
        <w:tabs>
          <w:tab w:val="num" w:pos="5580"/>
        </w:tabs>
        <w:ind w:left="5580" w:hanging="360"/>
      </w:pPr>
    </w:lvl>
    <w:lvl w:ilvl="8" w:tplc="041B001B">
      <w:start w:val="1"/>
      <w:numFmt w:val="decimal"/>
      <w:lvlText w:val="%9."/>
      <w:lvlJc w:val="left"/>
      <w:pPr>
        <w:tabs>
          <w:tab w:val="num" w:pos="6300"/>
        </w:tabs>
        <w:ind w:left="6300" w:hanging="360"/>
      </w:pPr>
    </w:lvl>
  </w:abstractNum>
  <w:abstractNum w:abstractNumId="38" w15:restartNumberingAfterBreak="0">
    <w:nsid w:val="1E8B6052"/>
    <w:multiLevelType w:val="hybridMultilevel"/>
    <w:tmpl w:val="E9DC5062"/>
    <w:lvl w:ilvl="0" w:tplc="5A04C2E4">
      <w:start w:val="8"/>
      <w:numFmt w:val="decimal"/>
      <w:lvlText w:val="%1."/>
      <w:lvlJc w:val="left"/>
      <w:pPr>
        <w:tabs>
          <w:tab w:val="num" w:pos="644"/>
        </w:tabs>
        <w:ind w:left="644"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EDA3D1C"/>
    <w:multiLevelType w:val="hybridMultilevel"/>
    <w:tmpl w:val="4E685C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1FBC15EA"/>
    <w:multiLevelType w:val="hybridMultilevel"/>
    <w:tmpl w:val="C9FEB33A"/>
    <w:lvl w:ilvl="0" w:tplc="041B0017">
      <w:start w:val="1"/>
      <w:numFmt w:val="lowerLetter"/>
      <w:lvlText w:val="%1)"/>
      <w:lvlJc w:val="left"/>
      <w:pPr>
        <w:ind w:left="720" w:hanging="360"/>
      </w:pPr>
    </w:lvl>
    <w:lvl w:ilvl="1" w:tplc="43EACD86">
      <w:start w:val="1"/>
      <w:numFmt w:val="decimal"/>
      <w:lvlText w:val="%2."/>
      <w:lvlJc w:val="left"/>
      <w:pPr>
        <w:ind w:left="1440" w:hanging="360"/>
      </w:pPr>
      <w:rPr>
        <w:rFonts w:hint="default"/>
      </w:rPr>
    </w:lvl>
    <w:lvl w:ilvl="2" w:tplc="041B0019">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1FC0384D"/>
    <w:multiLevelType w:val="hybridMultilevel"/>
    <w:tmpl w:val="5FA246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20CC7299"/>
    <w:multiLevelType w:val="hybridMultilevel"/>
    <w:tmpl w:val="6CD48D5A"/>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14C17E0"/>
    <w:multiLevelType w:val="hybridMultilevel"/>
    <w:tmpl w:val="368E73F0"/>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44" w15:restartNumberingAfterBreak="0">
    <w:nsid w:val="216D7F3D"/>
    <w:multiLevelType w:val="hybridMultilevel"/>
    <w:tmpl w:val="28106D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5" w15:restartNumberingAfterBreak="0">
    <w:nsid w:val="224D1912"/>
    <w:multiLevelType w:val="hybridMultilevel"/>
    <w:tmpl w:val="41D27A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2FA7E08"/>
    <w:multiLevelType w:val="hybridMultilevel"/>
    <w:tmpl w:val="916C73A2"/>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D8F0EEFC">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7" w15:restartNumberingAfterBreak="0">
    <w:nsid w:val="23791DC0"/>
    <w:multiLevelType w:val="hybridMultilevel"/>
    <w:tmpl w:val="28A0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48414B2"/>
    <w:multiLevelType w:val="hybridMultilevel"/>
    <w:tmpl w:val="5B58A8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24EF29D1"/>
    <w:multiLevelType w:val="multilevel"/>
    <w:tmpl w:val="B61A90D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2672124B"/>
    <w:multiLevelType w:val="hybridMultilevel"/>
    <w:tmpl w:val="143A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7424978"/>
    <w:multiLevelType w:val="hybridMultilevel"/>
    <w:tmpl w:val="6A4A33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27CD10A1"/>
    <w:multiLevelType w:val="hybridMultilevel"/>
    <w:tmpl w:val="3DFE9F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285C1A7A"/>
    <w:multiLevelType w:val="hybridMultilevel"/>
    <w:tmpl w:val="F280AB4C"/>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080"/>
        </w:tabs>
        <w:ind w:left="1080" w:hanging="360"/>
      </w:pPr>
      <w:rPr>
        <w:rFonts w:cs="Times New Roman"/>
      </w:rPr>
    </w:lvl>
    <w:lvl w:ilvl="2" w:tplc="F4F64358">
      <w:start w:val="6"/>
      <w:numFmt w:val="decimal"/>
      <w:lvlText w:val="%3."/>
      <w:lvlJc w:val="left"/>
      <w:pPr>
        <w:ind w:left="1980" w:hanging="360"/>
      </w:pPr>
      <w:rPr>
        <w:rFonts w:eastAsia="Arial Unicode MS" w:hint="default"/>
      </w:rPr>
    </w:lvl>
    <w:lvl w:ilvl="3" w:tplc="8A92657C">
      <w:start w:val="1"/>
      <w:numFmt w:val="decimal"/>
      <w:lvlText w:val="%4."/>
      <w:lvlJc w:val="left"/>
      <w:pPr>
        <w:tabs>
          <w:tab w:val="num" w:pos="2520"/>
        </w:tabs>
        <w:ind w:left="2520" w:hanging="360"/>
      </w:pPr>
      <w:rPr>
        <w:rFonts w:cs="Times New Roman"/>
        <w:b w:val="0"/>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4" w15:restartNumberingAfterBreak="0">
    <w:nsid w:val="28C951E3"/>
    <w:multiLevelType w:val="hybridMultilevel"/>
    <w:tmpl w:val="7DC804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2A7F7928"/>
    <w:multiLevelType w:val="hybridMultilevel"/>
    <w:tmpl w:val="69CC24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B410B63"/>
    <w:multiLevelType w:val="hybridMultilevel"/>
    <w:tmpl w:val="6A3E27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2C224FB3"/>
    <w:multiLevelType w:val="hybridMultilevel"/>
    <w:tmpl w:val="8DAC7C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C421F40"/>
    <w:multiLevelType w:val="hybridMultilevel"/>
    <w:tmpl w:val="0BBEE994"/>
    <w:lvl w:ilvl="0" w:tplc="041B0017">
      <w:start w:val="1"/>
      <w:numFmt w:val="lowerLetter"/>
      <w:lvlText w:val="%1)"/>
      <w:lvlJc w:val="left"/>
      <w:pPr>
        <w:tabs>
          <w:tab w:val="num" w:pos="720"/>
        </w:tabs>
        <w:ind w:left="720" w:hanging="360"/>
      </w:pPr>
      <w:rPr>
        <w:rFonts w:ascii="Times New Roman" w:hAnsi="Times New Roman" w:cs="Times New Roman" w:hint="default"/>
      </w:rPr>
    </w:lvl>
    <w:lvl w:ilvl="1" w:tplc="041B0019">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59" w15:restartNumberingAfterBreak="0">
    <w:nsid w:val="2C8E0FC4"/>
    <w:multiLevelType w:val="hybridMultilevel"/>
    <w:tmpl w:val="0FEE8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C9D41E6"/>
    <w:multiLevelType w:val="hybridMultilevel"/>
    <w:tmpl w:val="53148AAC"/>
    <w:lvl w:ilvl="0" w:tplc="FBEC1664">
      <w:start w:val="1"/>
      <w:numFmt w:val="decimal"/>
      <w:lvlText w:val="%1."/>
      <w:lvlJc w:val="left"/>
      <w:pPr>
        <w:tabs>
          <w:tab w:val="num" w:pos="360"/>
        </w:tabs>
        <w:ind w:left="360" w:hanging="360"/>
      </w:pPr>
      <w:rPr>
        <w:rFonts w:asciiTheme="minorHAnsi" w:hAnsiTheme="minorHAnsi" w:cstheme="minorHAnsi" w:hint="default"/>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61" w15:restartNumberingAfterBreak="0">
    <w:nsid w:val="2D4208C4"/>
    <w:multiLevelType w:val="hybridMultilevel"/>
    <w:tmpl w:val="30BACF18"/>
    <w:lvl w:ilvl="0" w:tplc="6B60B7FA">
      <w:start w:val="1"/>
      <w:numFmt w:val="decimal"/>
      <w:lvlText w:val="%1."/>
      <w:lvlJc w:val="left"/>
      <w:pPr>
        <w:tabs>
          <w:tab w:val="num" w:pos="360"/>
        </w:tabs>
        <w:ind w:left="360" w:hanging="360"/>
      </w:pPr>
      <w:rPr>
        <w:rFonts w:asciiTheme="minorHAnsi" w:hAnsiTheme="minorHAnsi" w:cstheme="minorHAnsi" w:hint="default"/>
        <w:sz w:val="19"/>
        <w:szCs w:val="19"/>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62" w15:restartNumberingAfterBreak="0">
    <w:nsid w:val="2E1B0802"/>
    <w:multiLevelType w:val="hybridMultilevel"/>
    <w:tmpl w:val="BD3884BE"/>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3" w15:restartNumberingAfterBreak="0">
    <w:nsid w:val="2E63486D"/>
    <w:multiLevelType w:val="hybridMultilevel"/>
    <w:tmpl w:val="BF50E85E"/>
    <w:lvl w:ilvl="0" w:tplc="7E5E4D46">
      <w:start w:val="1"/>
      <w:numFmt w:val="bullet"/>
      <w:lvlText w:val=""/>
      <w:lvlJc w:val="left"/>
      <w:pPr>
        <w:ind w:left="1429" w:hanging="360"/>
      </w:pPr>
      <w:rPr>
        <w:rFonts w:ascii="Symbol" w:hAnsi="Symbol"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4" w15:restartNumberingAfterBreak="0">
    <w:nsid w:val="2E8F5051"/>
    <w:multiLevelType w:val="hybridMultilevel"/>
    <w:tmpl w:val="82382F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EDE3771"/>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66" w15:restartNumberingAfterBreak="0">
    <w:nsid w:val="2F9B7D1F"/>
    <w:multiLevelType w:val="multilevel"/>
    <w:tmpl w:val="5B3208E4"/>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7" w15:restartNumberingAfterBreak="0">
    <w:nsid w:val="31857DF3"/>
    <w:multiLevelType w:val="hybridMultilevel"/>
    <w:tmpl w:val="4EAC8EFE"/>
    <w:lvl w:ilvl="0" w:tplc="AC68AA72">
      <w:start w:val="10"/>
      <w:numFmt w:val="decimal"/>
      <w:lvlText w:val="%1."/>
      <w:lvlJc w:val="left"/>
      <w:pPr>
        <w:tabs>
          <w:tab w:val="num" w:pos="502"/>
        </w:tabs>
        <w:ind w:left="502"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2A51917"/>
    <w:multiLevelType w:val="multilevel"/>
    <w:tmpl w:val="964A23A8"/>
    <w:lvl w:ilvl="0">
      <w:start w:val="1"/>
      <w:numFmt w:val="decimal"/>
      <w:lvlText w:val="%1."/>
      <w:lvlJc w:val="left"/>
      <w:pPr>
        <w:ind w:left="720" w:hanging="360"/>
      </w:pPr>
      <w:rPr>
        <w:rFonts w:hint="default"/>
      </w:rPr>
    </w:lvl>
    <w:lvl w:ilvl="1">
      <w:start w:val="1"/>
      <w:numFmt w:val="decimal"/>
      <w:isLgl/>
      <w:lvlText w:val="%2."/>
      <w:lvlJc w:val="left"/>
      <w:pPr>
        <w:ind w:left="795" w:hanging="435"/>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9" w15:restartNumberingAfterBreak="0">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3992985"/>
    <w:multiLevelType w:val="hybridMultilevel"/>
    <w:tmpl w:val="CDD024AE"/>
    <w:lvl w:ilvl="0" w:tplc="1EE6E65E">
      <w:start w:val="1"/>
      <w:numFmt w:val="bullet"/>
      <w:lvlText w:val=""/>
      <w:lvlJc w:val="left"/>
      <w:pPr>
        <w:tabs>
          <w:tab w:val="num" w:pos="1440"/>
        </w:tabs>
        <w:ind w:left="1440" w:hanging="360"/>
      </w:pPr>
      <w:rPr>
        <w:rFonts w:ascii="Symbol" w:hAnsi="Symbol"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71" w15:restartNumberingAfterBreak="0">
    <w:nsid w:val="348E6BA2"/>
    <w:multiLevelType w:val="hybridMultilevel"/>
    <w:tmpl w:val="D212B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67E4BF4"/>
    <w:multiLevelType w:val="hybridMultilevel"/>
    <w:tmpl w:val="04AECD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37446517"/>
    <w:multiLevelType w:val="hybridMultilevel"/>
    <w:tmpl w:val="01C4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9DD2130"/>
    <w:multiLevelType w:val="hybridMultilevel"/>
    <w:tmpl w:val="120CBE64"/>
    <w:lvl w:ilvl="0" w:tplc="04090017">
      <w:start w:val="1"/>
      <w:numFmt w:val="lowerLetter"/>
      <w:lvlText w:val="%1)"/>
      <w:lvlJc w:val="left"/>
      <w:pPr>
        <w:ind w:left="720" w:hanging="360"/>
      </w:pPr>
    </w:lvl>
    <w:lvl w:ilvl="1" w:tplc="7D12936E">
      <w:start w:val="1"/>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AFC0963"/>
    <w:multiLevelType w:val="hybridMultilevel"/>
    <w:tmpl w:val="92C2A512"/>
    <w:lvl w:ilvl="0" w:tplc="1EE6E65E">
      <w:start w:val="1"/>
      <w:numFmt w:val="upperRoman"/>
      <w:lvlText w:val="%1."/>
      <w:lvlJc w:val="right"/>
      <w:pPr>
        <w:tabs>
          <w:tab w:val="num" w:pos="720"/>
        </w:tabs>
        <w:ind w:left="720" w:hanging="18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tentative="1">
      <w:start w:val="1"/>
      <w:numFmt w:val="lowerRoman"/>
      <w:lvlText w:val="%3."/>
      <w:lvlJc w:val="right"/>
      <w:pPr>
        <w:tabs>
          <w:tab w:val="num" w:pos="2160"/>
        </w:tabs>
        <w:ind w:left="2160" w:hanging="180"/>
      </w:pPr>
      <w:rPr>
        <w:rFonts w:cs="Times New Roman"/>
      </w:rPr>
    </w:lvl>
    <w:lvl w:ilvl="3" w:tplc="041B0001" w:tentative="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tentative="1">
      <w:start w:val="1"/>
      <w:numFmt w:val="lowerRoman"/>
      <w:lvlText w:val="%6."/>
      <w:lvlJc w:val="right"/>
      <w:pPr>
        <w:tabs>
          <w:tab w:val="num" w:pos="4320"/>
        </w:tabs>
        <w:ind w:left="4320" w:hanging="180"/>
      </w:pPr>
      <w:rPr>
        <w:rFonts w:cs="Times New Roman"/>
      </w:rPr>
    </w:lvl>
    <w:lvl w:ilvl="6" w:tplc="041B0001" w:tentative="1">
      <w:start w:val="1"/>
      <w:numFmt w:val="decimal"/>
      <w:lvlText w:val="%7."/>
      <w:lvlJc w:val="left"/>
      <w:pPr>
        <w:tabs>
          <w:tab w:val="num" w:pos="5040"/>
        </w:tabs>
        <w:ind w:left="5040" w:hanging="360"/>
      </w:pPr>
      <w:rPr>
        <w:rFonts w:cs="Times New Roman"/>
      </w:rPr>
    </w:lvl>
    <w:lvl w:ilvl="7" w:tplc="041B0003" w:tentative="1">
      <w:start w:val="1"/>
      <w:numFmt w:val="lowerLetter"/>
      <w:lvlText w:val="%8."/>
      <w:lvlJc w:val="left"/>
      <w:pPr>
        <w:tabs>
          <w:tab w:val="num" w:pos="5760"/>
        </w:tabs>
        <w:ind w:left="5760" w:hanging="360"/>
      </w:pPr>
      <w:rPr>
        <w:rFonts w:cs="Times New Roman"/>
      </w:rPr>
    </w:lvl>
    <w:lvl w:ilvl="8" w:tplc="041B0005" w:tentative="1">
      <w:start w:val="1"/>
      <w:numFmt w:val="lowerRoman"/>
      <w:lvlText w:val="%9."/>
      <w:lvlJc w:val="right"/>
      <w:pPr>
        <w:tabs>
          <w:tab w:val="num" w:pos="6480"/>
        </w:tabs>
        <w:ind w:left="6480" w:hanging="180"/>
      </w:pPr>
      <w:rPr>
        <w:rFonts w:cs="Times New Roman"/>
      </w:rPr>
    </w:lvl>
  </w:abstractNum>
  <w:abstractNum w:abstractNumId="76" w15:restartNumberingAfterBreak="0">
    <w:nsid w:val="3B376BD7"/>
    <w:multiLevelType w:val="hybridMultilevel"/>
    <w:tmpl w:val="B5003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CB47366"/>
    <w:multiLevelType w:val="hybridMultilevel"/>
    <w:tmpl w:val="E2BE24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D813904"/>
    <w:multiLevelType w:val="multilevel"/>
    <w:tmpl w:val="357A0FDE"/>
    <w:lvl w:ilvl="0">
      <w:start w:val="5"/>
      <w:numFmt w:val="decimal"/>
      <w:lvlText w:val="%1"/>
      <w:lvlJc w:val="left"/>
      <w:pPr>
        <w:ind w:left="360" w:hanging="360"/>
      </w:pPr>
      <w:rPr>
        <w:rFonts w:hint="default"/>
      </w:rPr>
    </w:lvl>
    <w:lvl w:ilvl="1">
      <w:start w:val="1"/>
      <w:numFmt w:val="decimal"/>
      <w:lvlText w:val="%2."/>
      <w:lvlJc w:val="left"/>
      <w:pPr>
        <w:ind w:left="1155" w:hanging="360"/>
      </w:pPr>
      <w:rPr>
        <w:rFonts w:ascii="Arial" w:eastAsia="Times New Roman" w:hAnsi="Arial" w:cs="Times New Roman"/>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7800" w:hanging="1440"/>
      </w:pPr>
      <w:rPr>
        <w:rFonts w:hint="default"/>
      </w:rPr>
    </w:lvl>
  </w:abstractNum>
  <w:abstractNum w:abstractNumId="79" w15:restartNumberingAfterBreak="0">
    <w:nsid w:val="3ED41420"/>
    <w:multiLevelType w:val="hybridMultilevel"/>
    <w:tmpl w:val="7A4E9DC2"/>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3F276C06"/>
    <w:multiLevelType w:val="hybridMultilevel"/>
    <w:tmpl w:val="EA1E27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3F460EAE"/>
    <w:multiLevelType w:val="hybridMultilevel"/>
    <w:tmpl w:val="7708F0B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3F572299"/>
    <w:multiLevelType w:val="hybridMultilevel"/>
    <w:tmpl w:val="FCDC27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4" w15:restartNumberingAfterBreak="0">
    <w:nsid w:val="3FBA0F09"/>
    <w:multiLevelType w:val="hybridMultilevel"/>
    <w:tmpl w:val="2FA673D6"/>
    <w:lvl w:ilvl="0" w:tplc="041B000F">
      <w:start w:val="1"/>
      <w:numFmt w:val="decimal"/>
      <w:lvlText w:val="%1."/>
      <w:lvlJc w:val="left"/>
      <w:pPr>
        <w:tabs>
          <w:tab w:val="num" w:pos="720"/>
        </w:tabs>
        <w:ind w:left="720" w:hanging="360"/>
      </w:pPr>
      <w:rPr>
        <w:rFonts w:hint="default"/>
      </w:rPr>
    </w:lvl>
    <w:lvl w:ilvl="1" w:tplc="E0780E72">
      <w:numFmt w:val="bullet"/>
      <w:lvlText w:val="-"/>
      <w:lvlJc w:val="left"/>
      <w:pPr>
        <w:tabs>
          <w:tab w:val="num" w:pos="1440"/>
        </w:tabs>
        <w:ind w:left="1440" w:hanging="360"/>
      </w:pPr>
      <w:rPr>
        <w:rFonts w:ascii="Times New Roman" w:eastAsia="Times New Roman" w:hAnsi="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41DA7996"/>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86" w15:restartNumberingAfterBreak="0">
    <w:nsid w:val="420B5D14"/>
    <w:multiLevelType w:val="hybridMultilevel"/>
    <w:tmpl w:val="E230080E"/>
    <w:lvl w:ilvl="0" w:tplc="F1109EDC">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423810DF"/>
    <w:multiLevelType w:val="hybridMultilevel"/>
    <w:tmpl w:val="02585E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42B7269C"/>
    <w:multiLevelType w:val="multilevel"/>
    <w:tmpl w:val="B85C2E9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9" w15:restartNumberingAfterBreak="0">
    <w:nsid w:val="42EF7D60"/>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2" w15:restartNumberingAfterBreak="0">
    <w:nsid w:val="44525198"/>
    <w:multiLevelType w:val="hybridMultilevel"/>
    <w:tmpl w:val="406E2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472E6985"/>
    <w:multiLevelType w:val="hybridMultilevel"/>
    <w:tmpl w:val="C46030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47CD4CFA"/>
    <w:multiLevelType w:val="hybridMultilevel"/>
    <w:tmpl w:val="9586BA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A876875"/>
    <w:multiLevelType w:val="hybridMultilevel"/>
    <w:tmpl w:val="4524C6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B914E7B"/>
    <w:multiLevelType w:val="hybridMultilevel"/>
    <w:tmpl w:val="F2CE7B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C8E2CDE"/>
    <w:multiLevelType w:val="hybridMultilevel"/>
    <w:tmpl w:val="FE34D6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4CCD0EC1"/>
    <w:multiLevelType w:val="hybridMultilevel"/>
    <w:tmpl w:val="7BF600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CDA1681"/>
    <w:multiLevelType w:val="hybridMultilevel"/>
    <w:tmpl w:val="09C66762"/>
    <w:lvl w:ilvl="0" w:tplc="FFFFFFFF">
      <w:start w:val="1"/>
      <w:numFmt w:val="bullet"/>
      <w:lvlText w:val="−"/>
      <w:lvlJc w:val="left"/>
      <w:pPr>
        <w:tabs>
          <w:tab w:val="num" w:pos="1440"/>
        </w:tabs>
        <w:ind w:left="1440" w:hanging="360"/>
      </w:pPr>
      <w:rPr>
        <w:rFonts w:ascii="Univers Condensed" w:hAnsi="Univers Condensed" w:hint="default"/>
      </w:rPr>
    </w:lvl>
    <w:lvl w:ilvl="1" w:tplc="FFFFFFFF">
      <w:start w:val="1"/>
      <w:numFmt w:val="bullet"/>
      <w:lvlText w:val="−"/>
      <w:lvlJc w:val="left"/>
      <w:pPr>
        <w:tabs>
          <w:tab w:val="num" w:pos="2160"/>
        </w:tabs>
        <w:ind w:left="2160" w:hanging="360"/>
      </w:pPr>
      <w:rPr>
        <w:rFonts w:ascii="Univers Condensed" w:hAnsi="Univers Condensed"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0" w15:restartNumberingAfterBreak="0">
    <w:nsid w:val="4CF93FB6"/>
    <w:multiLevelType w:val="hybridMultilevel"/>
    <w:tmpl w:val="EEBAF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E3A56EA"/>
    <w:multiLevelType w:val="hybridMultilevel"/>
    <w:tmpl w:val="B1AEFD90"/>
    <w:lvl w:ilvl="0" w:tplc="3338767E">
      <w:start w:val="1"/>
      <w:numFmt w:val="lowerLetter"/>
      <w:lvlText w:val="%1)"/>
      <w:lvlJc w:val="left"/>
      <w:pPr>
        <w:tabs>
          <w:tab w:val="num" w:pos="720"/>
        </w:tabs>
        <w:ind w:left="720" w:hanging="360"/>
      </w:pPr>
      <w:rPr>
        <w:rFonts w:asciiTheme="minorHAnsi" w:hAnsiTheme="minorHAnsi" w:cstheme="minorHAnsi" w:hint="default"/>
      </w:rPr>
    </w:lvl>
    <w:lvl w:ilvl="1" w:tplc="886AAF00">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02" w15:restartNumberingAfterBreak="0">
    <w:nsid w:val="4FF65A9E"/>
    <w:multiLevelType w:val="hybridMultilevel"/>
    <w:tmpl w:val="3AB48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513828A4"/>
    <w:multiLevelType w:val="hybridMultilevel"/>
    <w:tmpl w:val="F3FE1BC2"/>
    <w:lvl w:ilvl="0" w:tplc="FFFFFFFF">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4" w15:restartNumberingAfterBreak="0">
    <w:nsid w:val="53B4584D"/>
    <w:multiLevelType w:val="hybridMultilevel"/>
    <w:tmpl w:val="90D81E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47B27CD"/>
    <w:multiLevelType w:val="hybridMultilevel"/>
    <w:tmpl w:val="322AE310"/>
    <w:lvl w:ilvl="0" w:tplc="1EE6E65E">
      <w:start w:val="2"/>
      <w:numFmt w:val="bullet"/>
      <w:lvlText w:val="-"/>
      <w:lvlJc w:val="left"/>
      <w:pPr>
        <w:ind w:left="1429" w:hanging="360"/>
      </w:pPr>
      <w:rPr>
        <w:rFonts w:ascii="Times New Roman" w:eastAsia="Times New Roman" w:hAnsi="Times New Roman" w:cs="Times New Roman"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6" w15:restartNumberingAfterBreak="0">
    <w:nsid w:val="55350F69"/>
    <w:multiLevelType w:val="hybridMultilevel"/>
    <w:tmpl w:val="C9789094"/>
    <w:lvl w:ilvl="0" w:tplc="B2DE6C24">
      <w:start w:val="1"/>
      <w:numFmt w:val="decimal"/>
      <w:lvlText w:val="%1."/>
      <w:lvlJc w:val="left"/>
      <w:pPr>
        <w:tabs>
          <w:tab w:val="num" w:pos="502"/>
        </w:tabs>
        <w:ind w:left="502" w:hanging="360"/>
      </w:pPr>
      <w:rPr>
        <w:rFonts w:asciiTheme="minorHAnsi" w:hAnsiTheme="minorHAnsi" w:cstheme="minorHAnsi" w:hint="default"/>
        <w:sz w:val="19"/>
        <w:szCs w:val="19"/>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07" w15:restartNumberingAfterBreak="0">
    <w:nsid w:val="55E03737"/>
    <w:multiLevelType w:val="hybridMultilevel"/>
    <w:tmpl w:val="0A6660A8"/>
    <w:lvl w:ilvl="0" w:tplc="94A865F4">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8" w15:restartNumberingAfterBreak="0">
    <w:nsid w:val="55E574D6"/>
    <w:multiLevelType w:val="hybridMultilevel"/>
    <w:tmpl w:val="1B109FF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562C2E41"/>
    <w:multiLevelType w:val="hybridMultilevel"/>
    <w:tmpl w:val="7920436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0" w15:restartNumberingAfterBreak="0">
    <w:nsid w:val="57313241"/>
    <w:multiLevelType w:val="hybridMultilevel"/>
    <w:tmpl w:val="536CB6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5796632A"/>
    <w:multiLevelType w:val="hybridMultilevel"/>
    <w:tmpl w:val="22961BE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58864FF1"/>
    <w:multiLevelType w:val="hybridMultilevel"/>
    <w:tmpl w:val="4DA083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15:restartNumberingAfterBreak="0">
    <w:nsid w:val="58EB769E"/>
    <w:multiLevelType w:val="hybridMultilevel"/>
    <w:tmpl w:val="142EAEE8"/>
    <w:lvl w:ilvl="0" w:tplc="871A73E0">
      <w:start w:val="1"/>
      <w:numFmt w:val="lowerLetter"/>
      <w:lvlText w:val="%1)"/>
      <w:lvlJc w:val="left"/>
      <w:pPr>
        <w:tabs>
          <w:tab w:val="num" w:pos="720"/>
        </w:tabs>
        <w:ind w:left="720" w:hanging="360"/>
      </w:pPr>
      <w:rPr>
        <w:rFonts w:asciiTheme="minorHAnsi" w:hAnsiTheme="minorHAnsi" w:cstheme="minorHAnsi" w:hint="default"/>
      </w:rPr>
    </w:lvl>
    <w:lvl w:ilvl="1" w:tplc="041B0019">
      <w:start w:val="1"/>
      <w:numFmt w:val="lowerLetter"/>
      <w:lvlText w:val="%2."/>
      <w:lvlJc w:val="left"/>
      <w:pPr>
        <w:tabs>
          <w:tab w:val="num" w:pos="1440"/>
        </w:tabs>
        <w:ind w:left="1440" w:hanging="360"/>
      </w:pPr>
      <w:rPr>
        <w:rFonts w:ascii="Times New Roman" w:hAnsi="Times New Roman" w:cs="Times New Roman"/>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15" w15:restartNumberingAfterBreak="0">
    <w:nsid w:val="5B0878FB"/>
    <w:multiLevelType w:val="hybridMultilevel"/>
    <w:tmpl w:val="0128D6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5CE33F9C"/>
    <w:multiLevelType w:val="hybridMultilevel"/>
    <w:tmpl w:val="F620D0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E315320"/>
    <w:multiLevelType w:val="hybridMultilevel"/>
    <w:tmpl w:val="604CCF8E"/>
    <w:lvl w:ilvl="0" w:tplc="1EE6E65E">
      <w:start w:val="2"/>
      <w:numFmt w:val="bullet"/>
      <w:lvlText w:val="-"/>
      <w:lvlJc w:val="left"/>
      <w:pPr>
        <w:tabs>
          <w:tab w:val="num" w:pos="720"/>
        </w:tabs>
        <w:ind w:left="720" w:hanging="360"/>
      </w:pPr>
      <w:rPr>
        <w:rFonts w:ascii="Times New Roman" w:eastAsia="Times New Roman" w:hAnsi="Times New Roman" w:cs="Times New Roman" w:hint="default"/>
      </w:rPr>
    </w:lvl>
    <w:lvl w:ilvl="1" w:tplc="1EE6E65E">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5F0D3640"/>
    <w:multiLevelType w:val="hybridMultilevel"/>
    <w:tmpl w:val="C9FE8F0A"/>
    <w:lvl w:ilvl="0" w:tplc="D00E594A">
      <w:start w:val="1"/>
      <w:numFmt w:val="lowerLetter"/>
      <w:lvlText w:val="%1)"/>
      <w:lvlJc w:val="left"/>
      <w:pPr>
        <w:ind w:left="720" w:hanging="360"/>
      </w:pPr>
      <w:rPr>
        <w:rFonts w:eastAsia="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60474602"/>
    <w:multiLevelType w:val="hybridMultilevel"/>
    <w:tmpl w:val="13D8BEA6"/>
    <w:lvl w:ilvl="0" w:tplc="041B000F">
      <w:start w:val="1"/>
      <w:numFmt w:val="decimal"/>
      <w:lvlText w:val="%1."/>
      <w:lvlJc w:val="left"/>
      <w:pPr>
        <w:tabs>
          <w:tab w:val="num" w:pos="360"/>
        </w:tabs>
        <w:ind w:left="36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0" w15:restartNumberingAfterBreak="0">
    <w:nsid w:val="61C76627"/>
    <w:multiLevelType w:val="multilevel"/>
    <w:tmpl w:val="ABF8FD16"/>
    <w:lvl w:ilvl="0">
      <w:start w:val="8"/>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2" w15:restartNumberingAfterBreak="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5826E36"/>
    <w:multiLevelType w:val="hybridMultilevel"/>
    <w:tmpl w:val="AE2A0D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5CA40AD"/>
    <w:multiLevelType w:val="hybridMultilevel"/>
    <w:tmpl w:val="F77293F6"/>
    <w:lvl w:ilvl="0" w:tplc="1EE6E65E">
      <w:start w:val="2"/>
      <w:numFmt w:val="bullet"/>
      <w:lvlText w:val="-"/>
      <w:lvlJc w:val="left"/>
      <w:pPr>
        <w:tabs>
          <w:tab w:val="num" w:pos="1440"/>
        </w:tabs>
        <w:ind w:left="1440" w:hanging="360"/>
      </w:pPr>
      <w:rPr>
        <w:rFonts w:ascii="Times New Roman" w:eastAsia="Times New Roman" w:hAnsi="Times New Roman" w:cs="Times New Roman"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25" w15:restartNumberingAfterBreak="0">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heme="minorEastAsia"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6A4781"/>
    <w:multiLevelType w:val="hybridMultilevel"/>
    <w:tmpl w:val="0D525DDC"/>
    <w:lvl w:ilvl="0" w:tplc="7DD4A68C">
      <w:start w:val="5"/>
      <w:numFmt w:val="decimal"/>
      <w:lvlText w:val="%1."/>
      <w:lvlJc w:val="left"/>
      <w:pPr>
        <w:tabs>
          <w:tab w:val="num" w:pos="720"/>
        </w:tabs>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67A31C0E"/>
    <w:multiLevelType w:val="hybridMultilevel"/>
    <w:tmpl w:val="0C38FB2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84C7C9D"/>
    <w:multiLevelType w:val="hybridMultilevel"/>
    <w:tmpl w:val="2714B352"/>
    <w:lvl w:ilvl="0" w:tplc="EB8ABE0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68722BDC"/>
    <w:multiLevelType w:val="hybridMultilevel"/>
    <w:tmpl w:val="9432CA7E"/>
    <w:lvl w:ilvl="0" w:tplc="C0BA2210">
      <w:start w:val="1"/>
      <w:numFmt w:val="lowerLetter"/>
      <w:lvlText w:val="%1)"/>
      <w:lvlJc w:val="left"/>
      <w:pPr>
        <w:ind w:left="720" w:hanging="360"/>
      </w:pPr>
      <w:rPr>
        <w:rFonts w:cs="Times New Roman"/>
      </w:rPr>
    </w:lvl>
    <w:lvl w:ilvl="1" w:tplc="041B0003">
      <w:start w:val="1"/>
      <w:numFmt w:val="lowerLetter"/>
      <w:lvlText w:val="%2."/>
      <w:lvlJc w:val="left"/>
      <w:pPr>
        <w:ind w:left="1440" w:hanging="360"/>
      </w:pPr>
      <w:rPr>
        <w:rFonts w:cs="Times New Roman"/>
      </w:rPr>
    </w:lvl>
    <w:lvl w:ilvl="2" w:tplc="041B0005" w:tentative="1">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tentative="1">
      <w:start w:val="1"/>
      <w:numFmt w:val="lowerLetter"/>
      <w:lvlText w:val="%5."/>
      <w:lvlJc w:val="left"/>
      <w:pPr>
        <w:ind w:left="3600" w:hanging="360"/>
      </w:pPr>
      <w:rPr>
        <w:rFonts w:cs="Times New Roman"/>
      </w:rPr>
    </w:lvl>
    <w:lvl w:ilvl="5" w:tplc="041B0005" w:tentative="1">
      <w:start w:val="1"/>
      <w:numFmt w:val="lowerRoman"/>
      <w:lvlText w:val="%6."/>
      <w:lvlJc w:val="right"/>
      <w:pPr>
        <w:ind w:left="4320" w:hanging="180"/>
      </w:pPr>
      <w:rPr>
        <w:rFonts w:cs="Times New Roman"/>
      </w:rPr>
    </w:lvl>
    <w:lvl w:ilvl="6" w:tplc="041B0001" w:tentative="1">
      <w:start w:val="1"/>
      <w:numFmt w:val="decimal"/>
      <w:lvlText w:val="%7."/>
      <w:lvlJc w:val="left"/>
      <w:pPr>
        <w:ind w:left="5040" w:hanging="360"/>
      </w:pPr>
      <w:rPr>
        <w:rFonts w:cs="Times New Roman"/>
      </w:rPr>
    </w:lvl>
    <w:lvl w:ilvl="7" w:tplc="041B0003" w:tentative="1">
      <w:start w:val="1"/>
      <w:numFmt w:val="lowerLetter"/>
      <w:lvlText w:val="%8."/>
      <w:lvlJc w:val="left"/>
      <w:pPr>
        <w:ind w:left="5760" w:hanging="360"/>
      </w:pPr>
      <w:rPr>
        <w:rFonts w:cs="Times New Roman"/>
      </w:rPr>
    </w:lvl>
    <w:lvl w:ilvl="8" w:tplc="041B0005" w:tentative="1">
      <w:start w:val="1"/>
      <w:numFmt w:val="lowerRoman"/>
      <w:lvlText w:val="%9."/>
      <w:lvlJc w:val="right"/>
      <w:pPr>
        <w:ind w:left="6480" w:hanging="180"/>
      </w:pPr>
      <w:rPr>
        <w:rFonts w:cs="Times New Roman"/>
      </w:rPr>
    </w:lvl>
  </w:abstractNum>
  <w:abstractNum w:abstractNumId="130" w15:restartNumberingAfterBreak="0">
    <w:nsid w:val="68CD402A"/>
    <w:multiLevelType w:val="hybridMultilevel"/>
    <w:tmpl w:val="8502212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1" w15:restartNumberingAfterBreak="0">
    <w:nsid w:val="68D17733"/>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927498E"/>
    <w:multiLevelType w:val="hybridMultilevel"/>
    <w:tmpl w:val="296A4B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ABF6956"/>
    <w:multiLevelType w:val="hybridMultilevel"/>
    <w:tmpl w:val="92A66E76"/>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FF5ABF4A">
      <w:start w:val="1"/>
      <w:numFmt w:val="lowerLetter"/>
      <w:lvlText w:val="%3)"/>
      <w:lvlJc w:val="left"/>
      <w:pPr>
        <w:ind w:left="1980" w:hanging="360"/>
      </w:pPr>
      <w:rPr>
        <w:rFonts w:hint="default"/>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34" w15:restartNumberingAfterBreak="0">
    <w:nsid w:val="6B1B3961"/>
    <w:multiLevelType w:val="hybridMultilevel"/>
    <w:tmpl w:val="07188E5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B4C2287"/>
    <w:multiLevelType w:val="hybridMultilevel"/>
    <w:tmpl w:val="AC7A58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B987BF8"/>
    <w:multiLevelType w:val="hybridMultilevel"/>
    <w:tmpl w:val="6D7A7D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BF67911"/>
    <w:multiLevelType w:val="multilevel"/>
    <w:tmpl w:val="9EB2AF84"/>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8" w15:restartNumberingAfterBreak="0">
    <w:nsid w:val="6C072947"/>
    <w:multiLevelType w:val="hybridMultilevel"/>
    <w:tmpl w:val="991C53A2"/>
    <w:lvl w:ilvl="0" w:tplc="04090017">
      <w:start w:val="1"/>
      <w:numFmt w:val="lowerLetter"/>
      <w:lvlText w:val="%1)"/>
      <w:lvlJc w:val="left"/>
      <w:pPr>
        <w:ind w:left="1222" w:hanging="360"/>
      </w:p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39" w15:restartNumberingAfterBreak="0">
    <w:nsid w:val="6D0E7980"/>
    <w:multiLevelType w:val="hybridMultilevel"/>
    <w:tmpl w:val="60E0D41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15:restartNumberingAfterBreak="0">
    <w:nsid w:val="6F487374"/>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41" w15:restartNumberingAfterBreak="0">
    <w:nsid w:val="72476B52"/>
    <w:multiLevelType w:val="hybridMultilevel"/>
    <w:tmpl w:val="EBA6CBC8"/>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42" w15:restartNumberingAfterBreak="0">
    <w:nsid w:val="7552157F"/>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3" w15:restartNumberingAfterBreak="0">
    <w:nsid w:val="761302D5"/>
    <w:multiLevelType w:val="hybridMultilevel"/>
    <w:tmpl w:val="9F9C8C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7B9462E"/>
    <w:multiLevelType w:val="hybridMultilevel"/>
    <w:tmpl w:val="7EF4D740"/>
    <w:lvl w:ilvl="0" w:tplc="CBF86800">
      <w:start w:val="1"/>
      <w:numFmt w:val="lowerLetter"/>
      <w:lvlText w:val="%1)"/>
      <w:lvlJc w:val="left"/>
      <w:pPr>
        <w:tabs>
          <w:tab w:val="num" w:pos="720"/>
        </w:tabs>
        <w:ind w:left="720" w:hanging="360"/>
      </w:pPr>
      <w:rPr>
        <w:rFonts w:cs="Times New Roman" w:hint="default"/>
      </w:rPr>
    </w:lvl>
    <w:lvl w:ilvl="1" w:tplc="1E48F6A2">
      <w:start w:val="1"/>
      <w:numFmt w:val="bullet"/>
      <w:lvlText w:val=""/>
      <w:lvlJc w:val="left"/>
      <w:pPr>
        <w:tabs>
          <w:tab w:val="num" w:pos="1440"/>
        </w:tabs>
        <w:ind w:left="1440" w:hanging="360"/>
      </w:pPr>
      <w:rPr>
        <w:rFonts w:ascii="Symbol" w:hAnsi="Symbol" w:hint="default"/>
      </w:rPr>
    </w:lvl>
    <w:lvl w:ilvl="2" w:tplc="6A62CD5A">
      <w:numFmt w:val="bullet"/>
      <w:lvlText w:val="-"/>
      <w:lvlJc w:val="left"/>
      <w:pPr>
        <w:tabs>
          <w:tab w:val="num" w:pos="2340"/>
        </w:tabs>
        <w:ind w:left="2340" w:hanging="360"/>
      </w:pPr>
      <w:rPr>
        <w:rFonts w:ascii="Times New Roman" w:eastAsia="Times New Roman" w:hAnsi="Times New Roman" w:hint="default"/>
      </w:rPr>
    </w:lvl>
    <w:lvl w:ilvl="3" w:tplc="A10CE332">
      <w:start w:val="1"/>
      <w:numFmt w:val="lowerLetter"/>
      <w:lvlText w:val="%4)"/>
      <w:lvlJc w:val="left"/>
      <w:pPr>
        <w:tabs>
          <w:tab w:val="num" w:pos="2880"/>
        </w:tabs>
        <w:ind w:left="2880" w:hanging="360"/>
      </w:pPr>
      <w:rPr>
        <w:rFonts w:cs="Times New Roman" w:hint="default"/>
        <w:b w:val="0"/>
      </w:rPr>
    </w:lvl>
    <w:lvl w:ilvl="4" w:tplc="9ED6F73C">
      <w:start w:val="1"/>
      <w:numFmt w:val="bullet"/>
      <w:lvlText w:val=""/>
      <w:lvlJc w:val="left"/>
      <w:pPr>
        <w:tabs>
          <w:tab w:val="num" w:pos="3600"/>
        </w:tabs>
        <w:ind w:left="3600" w:hanging="360"/>
      </w:pPr>
      <w:rPr>
        <w:rFonts w:ascii="Symbol" w:hAnsi="Symbol" w:hint="default"/>
      </w:rPr>
    </w:lvl>
    <w:lvl w:ilvl="5" w:tplc="83A00214" w:tentative="1">
      <w:start w:val="1"/>
      <w:numFmt w:val="lowerRoman"/>
      <w:lvlText w:val="%6."/>
      <w:lvlJc w:val="right"/>
      <w:pPr>
        <w:tabs>
          <w:tab w:val="num" w:pos="4320"/>
        </w:tabs>
        <w:ind w:left="4320" w:hanging="180"/>
      </w:pPr>
      <w:rPr>
        <w:rFonts w:cs="Times New Roman"/>
      </w:rPr>
    </w:lvl>
    <w:lvl w:ilvl="6" w:tplc="2098CA04" w:tentative="1">
      <w:start w:val="1"/>
      <w:numFmt w:val="decimal"/>
      <w:lvlText w:val="%7."/>
      <w:lvlJc w:val="left"/>
      <w:pPr>
        <w:tabs>
          <w:tab w:val="num" w:pos="5040"/>
        </w:tabs>
        <w:ind w:left="5040" w:hanging="360"/>
      </w:pPr>
      <w:rPr>
        <w:rFonts w:cs="Times New Roman"/>
      </w:rPr>
    </w:lvl>
    <w:lvl w:ilvl="7" w:tplc="B6B8331E" w:tentative="1">
      <w:start w:val="1"/>
      <w:numFmt w:val="lowerLetter"/>
      <w:lvlText w:val="%8."/>
      <w:lvlJc w:val="left"/>
      <w:pPr>
        <w:tabs>
          <w:tab w:val="num" w:pos="5760"/>
        </w:tabs>
        <w:ind w:left="5760" w:hanging="360"/>
      </w:pPr>
      <w:rPr>
        <w:rFonts w:cs="Times New Roman"/>
      </w:rPr>
    </w:lvl>
    <w:lvl w:ilvl="8" w:tplc="8872DEC4" w:tentative="1">
      <w:start w:val="1"/>
      <w:numFmt w:val="lowerRoman"/>
      <w:lvlText w:val="%9."/>
      <w:lvlJc w:val="right"/>
      <w:pPr>
        <w:tabs>
          <w:tab w:val="num" w:pos="6480"/>
        </w:tabs>
        <w:ind w:left="6480" w:hanging="180"/>
      </w:pPr>
      <w:rPr>
        <w:rFonts w:cs="Times New Roman"/>
      </w:rPr>
    </w:lvl>
  </w:abstractNum>
  <w:abstractNum w:abstractNumId="145" w15:restartNumberingAfterBreak="0">
    <w:nsid w:val="781B6365"/>
    <w:multiLevelType w:val="hybridMultilevel"/>
    <w:tmpl w:val="8B2E08D2"/>
    <w:lvl w:ilvl="0" w:tplc="041B0001">
      <w:start w:val="1"/>
      <w:numFmt w:val="bullet"/>
      <w:lvlText w:val=""/>
      <w:lvlJc w:val="left"/>
      <w:pPr>
        <w:tabs>
          <w:tab w:val="num" w:pos="720"/>
        </w:tabs>
        <w:ind w:left="720" w:hanging="360"/>
      </w:pPr>
      <w:rPr>
        <w:rFonts w:ascii="Symbol" w:hAnsi="Symbol" w:hint="default"/>
      </w:rPr>
    </w:lvl>
    <w:lvl w:ilvl="1" w:tplc="640CA62C" w:tentative="1">
      <w:start w:val="1"/>
      <w:numFmt w:val="lowerLetter"/>
      <w:lvlText w:val="%2."/>
      <w:lvlJc w:val="left"/>
      <w:pPr>
        <w:tabs>
          <w:tab w:val="num" w:pos="1440"/>
        </w:tabs>
        <w:ind w:left="1440" w:hanging="360"/>
      </w:pPr>
    </w:lvl>
    <w:lvl w:ilvl="2" w:tplc="689E067C" w:tentative="1">
      <w:start w:val="1"/>
      <w:numFmt w:val="lowerRoman"/>
      <w:lvlText w:val="%3."/>
      <w:lvlJc w:val="right"/>
      <w:pPr>
        <w:tabs>
          <w:tab w:val="num" w:pos="2160"/>
        </w:tabs>
        <w:ind w:left="2160" w:hanging="180"/>
      </w:pPr>
    </w:lvl>
    <w:lvl w:ilvl="3" w:tplc="1CE6EC3A" w:tentative="1">
      <w:start w:val="1"/>
      <w:numFmt w:val="decimal"/>
      <w:lvlText w:val="%4."/>
      <w:lvlJc w:val="left"/>
      <w:pPr>
        <w:tabs>
          <w:tab w:val="num" w:pos="2880"/>
        </w:tabs>
        <w:ind w:left="2880" w:hanging="360"/>
      </w:pPr>
    </w:lvl>
    <w:lvl w:ilvl="4" w:tplc="195AEC7C" w:tentative="1">
      <w:start w:val="1"/>
      <w:numFmt w:val="lowerLetter"/>
      <w:lvlText w:val="%5."/>
      <w:lvlJc w:val="left"/>
      <w:pPr>
        <w:tabs>
          <w:tab w:val="num" w:pos="3600"/>
        </w:tabs>
        <w:ind w:left="3600" w:hanging="360"/>
      </w:pPr>
    </w:lvl>
    <w:lvl w:ilvl="5" w:tplc="FC9EF1A0" w:tentative="1">
      <w:start w:val="1"/>
      <w:numFmt w:val="lowerRoman"/>
      <w:lvlText w:val="%6."/>
      <w:lvlJc w:val="right"/>
      <w:pPr>
        <w:tabs>
          <w:tab w:val="num" w:pos="4320"/>
        </w:tabs>
        <w:ind w:left="4320" w:hanging="180"/>
      </w:pPr>
    </w:lvl>
    <w:lvl w:ilvl="6" w:tplc="1CC89706" w:tentative="1">
      <w:start w:val="1"/>
      <w:numFmt w:val="decimal"/>
      <w:lvlText w:val="%7."/>
      <w:lvlJc w:val="left"/>
      <w:pPr>
        <w:tabs>
          <w:tab w:val="num" w:pos="5040"/>
        </w:tabs>
        <w:ind w:left="5040" w:hanging="360"/>
      </w:pPr>
    </w:lvl>
    <w:lvl w:ilvl="7" w:tplc="25FA5644" w:tentative="1">
      <w:start w:val="1"/>
      <w:numFmt w:val="lowerLetter"/>
      <w:lvlText w:val="%8."/>
      <w:lvlJc w:val="left"/>
      <w:pPr>
        <w:tabs>
          <w:tab w:val="num" w:pos="5760"/>
        </w:tabs>
        <w:ind w:left="5760" w:hanging="360"/>
      </w:pPr>
    </w:lvl>
    <w:lvl w:ilvl="8" w:tplc="0094AA72" w:tentative="1">
      <w:start w:val="1"/>
      <w:numFmt w:val="lowerRoman"/>
      <w:lvlText w:val="%9."/>
      <w:lvlJc w:val="right"/>
      <w:pPr>
        <w:tabs>
          <w:tab w:val="num" w:pos="6480"/>
        </w:tabs>
        <w:ind w:left="6480" w:hanging="180"/>
      </w:pPr>
    </w:lvl>
  </w:abstractNum>
  <w:abstractNum w:abstractNumId="146" w15:restartNumberingAfterBreak="0">
    <w:nsid w:val="785366CA"/>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BE25D60"/>
    <w:multiLevelType w:val="hybridMultilevel"/>
    <w:tmpl w:val="D3CCB0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7C47078B"/>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49" w15:restartNumberingAfterBreak="0">
    <w:nsid w:val="7C715B78"/>
    <w:multiLevelType w:val="hybridMultilevel"/>
    <w:tmpl w:val="AD30885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0" w15:restartNumberingAfterBreak="0">
    <w:nsid w:val="7E391BC1"/>
    <w:multiLevelType w:val="hybridMultilevel"/>
    <w:tmpl w:val="C26C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E4B4CE4"/>
    <w:multiLevelType w:val="multilevel"/>
    <w:tmpl w:val="AF664E7A"/>
    <w:lvl w:ilvl="0">
      <w:start w:val="4"/>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2" w15:restartNumberingAfterBreak="0">
    <w:nsid w:val="7FCD231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2"/>
  </w:num>
  <w:num w:numId="2">
    <w:abstractNumId w:val="83"/>
  </w:num>
  <w:num w:numId="3">
    <w:abstractNumId w:val="27"/>
  </w:num>
  <w:num w:numId="4">
    <w:abstractNumId w:val="121"/>
  </w:num>
  <w:num w:numId="5">
    <w:abstractNumId w:val="43"/>
  </w:num>
  <w:num w:numId="6">
    <w:abstractNumId w:val="119"/>
  </w:num>
  <w:num w:numId="7">
    <w:abstractNumId w:val="84"/>
  </w:num>
  <w:num w:numId="8">
    <w:abstractNumId w:val="152"/>
  </w:num>
  <w:num w:numId="9">
    <w:abstractNumId w:val="99"/>
  </w:num>
  <w:num w:numId="10">
    <w:abstractNumId w:val="22"/>
  </w:num>
  <w:num w:numId="11">
    <w:abstractNumId w:val="35"/>
  </w:num>
  <w:num w:numId="12">
    <w:abstractNumId w:val="91"/>
  </w:num>
  <w:num w:numId="13">
    <w:abstractNumId w:val="1"/>
  </w:num>
  <w:num w:numId="14">
    <w:abstractNumId w:val="20"/>
  </w:num>
  <w:num w:numId="15">
    <w:abstractNumId w:val="0"/>
  </w:num>
  <w:num w:numId="16">
    <w:abstractNumId w:val="125"/>
  </w:num>
  <w:num w:numId="17">
    <w:abstractNumId w:val="133"/>
  </w:num>
  <w:num w:numId="18">
    <w:abstractNumId w:val="53"/>
  </w:num>
  <w:num w:numId="19">
    <w:abstractNumId w:val="40"/>
  </w:num>
  <w:num w:numId="20">
    <w:abstractNumId w:val="137"/>
  </w:num>
  <w:num w:numId="21">
    <w:abstractNumId w:val="2"/>
  </w:num>
  <w:num w:numId="22">
    <w:abstractNumId w:val="88"/>
  </w:num>
  <w:num w:numId="23">
    <w:abstractNumId w:val="39"/>
  </w:num>
  <w:num w:numId="24">
    <w:abstractNumId w:val="118"/>
  </w:num>
  <w:num w:numId="25">
    <w:abstractNumId w:val="139"/>
  </w:num>
  <w:num w:numId="26">
    <w:abstractNumId w:val="65"/>
  </w:num>
  <w:num w:numId="27">
    <w:abstractNumId w:val="140"/>
  </w:num>
  <w:num w:numId="28">
    <w:abstractNumId w:val="110"/>
  </w:num>
  <w:num w:numId="29">
    <w:abstractNumId w:val="79"/>
  </w:num>
  <w:num w:numId="30">
    <w:abstractNumId w:val="113"/>
  </w:num>
  <w:num w:numId="31">
    <w:abstractNumId w:val="33"/>
  </w:num>
  <w:num w:numId="32">
    <w:abstractNumId w:val="117"/>
  </w:num>
  <w:num w:numId="33">
    <w:abstractNumId w:val="103"/>
  </w:num>
  <w:num w:numId="34">
    <w:abstractNumId w:val="144"/>
  </w:num>
  <w:num w:numId="35">
    <w:abstractNumId w:val="129"/>
  </w:num>
  <w:num w:numId="36">
    <w:abstractNumId w:val="145"/>
  </w:num>
  <w:num w:numId="37">
    <w:abstractNumId w:val="149"/>
  </w:num>
  <w:num w:numId="38">
    <w:abstractNumId w:val="75"/>
  </w:num>
  <w:num w:numId="39">
    <w:abstractNumId w:val="4"/>
  </w:num>
  <w:num w:numId="40">
    <w:abstractNumId w:val="128"/>
  </w:num>
  <w:num w:numId="41">
    <w:abstractNumId w:val="97"/>
  </w:num>
  <w:num w:numId="42">
    <w:abstractNumId w:val="109"/>
  </w:num>
  <w:num w:numId="43">
    <w:abstractNumId w:val="142"/>
  </w:num>
  <w:num w:numId="44">
    <w:abstractNumId w:val="86"/>
  </w:num>
  <w:num w:numId="45">
    <w:abstractNumId w:val="81"/>
  </w:num>
  <w:num w:numId="46">
    <w:abstractNumId w:val="93"/>
  </w:num>
  <w:num w:numId="47">
    <w:abstractNumId w:val="51"/>
  </w:num>
  <w:num w:numId="48">
    <w:abstractNumId w:val="25"/>
  </w:num>
  <w:num w:numId="49">
    <w:abstractNumId w:val="112"/>
  </w:num>
  <w:num w:numId="50">
    <w:abstractNumId w:val="54"/>
  </w:num>
  <w:num w:numId="51">
    <w:abstractNumId w:val="56"/>
  </w:num>
  <w:num w:numId="52">
    <w:abstractNumId w:val="62"/>
  </w:num>
  <w:num w:numId="53">
    <w:abstractNumId w:val="14"/>
  </w:num>
  <w:num w:numId="54">
    <w:abstractNumId w:val="80"/>
  </w:num>
  <w:num w:numId="55">
    <w:abstractNumId w:val="8"/>
  </w:num>
  <w:num w:numId="56">
    <w:abstractNumId w:val="63"/>
  </w:num>
  <w:num w:numId="57">
    <w:abstractNumId w:val="29"/>
  </w:num>
  <w:num w:numId="58">
    <w:abstractNumId w:val="105"/>
  </w:num>
  <w:num w:numId="59">
    <w:abstractNumId w:val="7"/>
  </w:num>
  <w:num w:numId="60">
    <w:abstractNumId w:val="70"/>
  </w:num>
  <w:num w:numId="61">
    <w:abstractNumId w:val="124"/>
  </w:num>
  <w:num w:numId="62">
    <w:abstractNumId w:val="90"/>
  </w:num>
  <w:num w:numId="63">
    <w:abstractNumId w:val="111"/>
  </w:num>
  <w:num w:numId="64">
    <w:abstractNumId w:val="108"/>
  </w:num>
  <w:num w:numId="65">
    <w:abstractNumId w:val="42"/>
  </w:num>
  <w:num w:numId="66">
    <w:abstractNumId w:val="52"/>
  </w:num>
  <w:num w:numId="67">
    <w:abstractNumId w:val="102"/>
  </w:num>
  <w:num w:numId="68">
    <w:abstractNumId w:val="46"/>
  </w:num>
  <w:num w:numId="69">
    <w:abstractNumId w:val="123"/>
  </w:num>
  <w:num w:numId="70">
    <w:abstractNumId w:val="64"/>
  </w:num>
  <w:num w:numId="71">
    <w:abstractNumId w:val="45"/>
  </w:num>
  <w:num w:numId="72">
    <w:abstractNumId w:val="85"/>
  </w:num>
  <w:num w:numId="73">
    <w:abstractNumId w:val="60"/>
  </w:num>
  <w:num w:numId="74">
    <w:abstractNumId w:val="15"/>
  </w:num>
  <w:num w:numId="75">
    <w:abstractNumId w:val="28"/>
  </w:num>
  <w:num w:numId="76">
    <w:abstractNumId w:val="138"/>
  </w:num>
  <w:num w:numId="77">
    <w:abstractNumId w:val="136"/>
  </w:num>
  <w:num w:numId="78">
    <w:abstractNumId w:val="107"/>
  </w:num>
  <w:num w:numId="79">
    <w:abstractNumId w:val="131"/>
  </w:num>
  <w:num w:numId="80">
    <w:abstractNumId w:val="72"/>
  </w:num>
  <w:num w:numId="81">
    <w:abstractNumId w:val="61"/>
  </w:num>
  <w:num w:numId="82">
    <w:abstractNumId w:val="89"/>
  </w:num>
  <w:num w:numId="83">
    <w:abstractNumId w:val="92"/>
  </w:num>
  <w:num w:numId="84">
    <w:abstractNumId w:val="106"/>
  </w:num>
  <w:num w:numId="85">
    <w:abstractNumId w:val="19"/>
  </w:num>
  <w:num w:numId="86">
    <w:abstractNumId w:val="41"/>
  </w:num>
  <w:num w:numId="87">
    <w:abstractNumId w:val="36"/>
  </w:num>
  <w:num w:numId="88">
    <w:abstractNumId w:val="32"/>
  </w:num>
  <w:num w:numId="89">
    <w:abstractNumId w:val="34"/>
  </w:num>
  <w:num w:numId="90">
    <w:abstractNumId w:val="148"/>
  </w:num>
  <w:num w:numId="91">
    <w:abstractNumId w:val="5"/>
  </w:num>
  <w:num w:numId="92">
    <w:abstractNumId w:val="38"/>
  </w:num>
  <w:num w:numId="93">
    <w:abstractNumId w:val="146"/>
  </w:num>
  <w:num w:numId="94">
    <w:abstractNumId w:val="67"/>
  </w:num>
  <w:num w:numId="95">
    <w:abstractNumId w:val="44"/>
  </w:num>
  <w:num w:numId="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6"/>
  </w:num>
  <w:num w:numId="98">
    <w:abstractNumId w:val="6"/>
  </w:num>
  <w:num w:numId="99">
    <w:abstractNumId w:val="74"/>
  </w:num>
  <w:num w:numId="100">
    <w:abstractNumId w:val="98"/>
  </w:num>
  <w:num w:numId="101">
    <w:abstractNumId w:val="127"/>
  </w:num>
  <w:num w:numId="102">
    <w:abstractNumId w:val="18"/>
  </w:num>
  <w:num w:numId="103">
    <w:abstractNumId w:val="134"/>
  </w:num>
  <w:num w:numId="104">
    <w:abstractNumId w:val="11"/>
  </w:num>
  <w:num w:numId="105">
    <w:abstractNumId w:val="76"/>
  </w:num>
  <w:num w:numId="106">
    <w:abstractNumId w:val="135"/>
  </w:num>
  <w:num w:numId="107">
    <w:abstractNumId w:val="94"/>
  </w:num>
  <w:num w:numId="108">
    <w:abstractNumId w:val="9"/>
  </w:num>
  <w:num w:numId="109">
    <w:abstractNumId w:val="10"/>
  </w:num>
  <w:num w:numId="110">
    <w:abstractNumId w:val="58"/>
  </w:num>
  <w:num w:numId="111">
    <w:abstractNumId w:val="101"/>
  </w:num>
  <w:num w:numId="112">
    <w:abstractNumId w:val="17"/>
  </w:num>
  <w:num w:numId="113">
    <w:abstractNumId w:val="114"/>
  </w:num>
  <w:num w:numId="114">
    <w:abstractNumId w:val="77"/>
  </w:num>
  <w:num w:numId="115">
    <w:abstractNumId w:val="115"/>
  </w:num>
  <w:num w:numId="116">
    <w:abstractNumId w:val="132"/>
  </w:num>
  <w:num w:numId="117">
    <w:abstractNumId w:val="55"/>
  </w:num>
  <w:num w:numId="118">
    <w:abstractNumId w:val="147"/>
  </w:num>
  <w:num w:numId="119">
    <w:abstractNumId w:val="143"/>
  </w:num>
  <w:num w:numId="120">
    <w:abstractNumId w:val="104"/>
  </w:num>
  <w:num w:numId="121">
    <w:abstractNumId w:val="16"/>
  </w:num>
  <w:num w:numId="122">
    <w:abstractNumId w:val="23"/>
  </w:num>
  <w:num w:numId="123">
    <w:abstractNumId w:val="71"/>
  </w:num>
  <w:num w:numId="124">
    <w:abstractNumId w:val="96"/>
  </w:num>
  <w:num w:numId="125">
    <w:abstractNumId w:val="59"/>
  </w:num>
  <w:num w:numId="126">
    <w:abstractNumId w:val="116"/>
  </w:num>
  <w:num w:numId="127">
    <w:abstractNumId w:val="57"/>
  </w:num>
  <w:num w:numId="128">
    <w:abstractNumId w:val="95"/>
  </w:num>
  <w:num w:numId="129">
    <w:abstractNumId w:val="130"/>
  </w:num>
  <w:num w:numId="130">
    <w:abstractNumId w:val="24"/>
  </w:num>
  <w:num w:numId="131">
    <w:abstractNumId w:val="48"/>
  </w:num>
  <w:num w:numId="132">
    <w:abstractNumId w:val="150"/>
  </w:num>
  <w:num w:numId="133">
    <w:abstractNumId w:val="69"/>
  </w:num>
  <w:num w:numId="134">
    <w:abstractNumId w:val="50"/>
  </w:num>
  <w:num w:numId="135">
    <w:abstractNumId w:val="73"/>
  </w:num>
  <w:num w:numId="136">
    <w:abstractNumId w:val="37"/>
  </w:num>
  <w:num w:numId="137">
    <w:abstractNumId w:val="126"/>
  </w:num>
  <w:num w:numId="138">
    <w:abstractNumId w:val="100"/>
  </w:num>
  <w:num w:numId="139">
    <w:abstractNumId w:val="68"/>
  </w:num>
  <w:num w:numId="140">
    <w:abstractNumId w:val="151"/>
  </w:num>
  <w:num w:numId="141">
    <w:abstractNumId w:val="3"/>
  </w:num>
  <w:num w:numId="142">
    <w:abstractNumId w:val="78"/>
  </w:num>
  <w:num w:numId="143">
    <w:abstractNumId w:val="83"/>
  </w:num>
  <w:num w:numId="144">
    <w:abstractNumId w:val="47"/>
  </w:num>
  <w:num w:numId="145">
    <w:abstractNumId w:val="87"/>
  </w:num>
  <w:num w:numId="146">
    <w:abstractNumId w:val="30"/>
  </w:num>
  <w:num w:numId="147">
    <w:abstractNumId w:val="141"/>
  </w:num>
  <w:num w:numId="148">
    <w:abstractNumId w:val="21"/>
  </w:num>
  <w:num w:numId="149">
    <w:abstractNumId w:val="49"/>
  </w:num>
  <w:num w:numId="150">
    <w:abstractNumId w:val="122"/>
  </w:num>
  <w:num w:numId="151">
    <w:abstractNumId w:val="120"/>
  </w:num>
  <w:num w:numId="152">
    <w:abstractNumId w:val="66"/>
  </w:num>
  <w:num w:numId="153">
    <w:abstractNumId w:val="82"/>
  </w:num>
  <w:num w:numId="154">
    <w:abstractNumId w:val="83"/>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2"/>
  </w:num>
  <w:num w:numId="156">
    <w:abstractNumId w:val="13"/>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3566"/>
    <w:rsid w:val="0000021F"/>
    <w:rsid w:val="000016A5"/>
    <w:rsid w:val="00002D67"/>
    <w:rsid w:val="00005222"/>
    <w:rsid w:val="00005B9D"/>
    <w:rsid w:val="00006133"/>
    <w:rsid w:val="000068AD"/>
    <w:rsid w:val="000115DF"/>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2489"/>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70FC4"/>
    <w:rsid w:val="00071987"/>
    <w:rsid w:val="000738C5"/>
    <w:rsid w:val="00074D2F"/>
    <w:rsid w:val="0007520B"/>
    <w:rsid w:val="0007555C"/>
    <w:rsid w:val="00075C1E"/>
    <w:rsid w:val="00077311"/>
    <w:rsid w:val="00077F9D"/>
    <w:rsid w:val="000809AE"/>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6689"/>
    <w:rsid w:val="000B024D"/>
    <w:rsid w:val="000B20F3"/>
    <w:rsid w:val="000B3B8B"/>
    <w:rsid w:val="000B4828"/>
    <w:rsid w:val="000B74DE"/>
    <w:rsid w:val="000B7751"/>
    <w:rsid w:val="000C07D2"/>
    <w:rsid w:val="000C1287"/>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B66"/>
    <w:rsid w:val="000E230D"/>
    <w:rsid w:val="000E2B53"/>
    <w:rsid w:val="000E2FDD"/>
    <w:rsid w:val="000E3A9F"/>
    <w:rsid w:val="000E49F2"/>
    <w:rsid w:val="000E6452"/>
    <w:rsid w:val="000E6A89"/>
    <w:rsid w:val="000E71CE"/>
    <w:rsid w:val="000E765A"/>
    <w:rsid w:val="000F0DBF"/>
    <w:rsid w:val="000F249A"/>
    <w:rsid w:val="000F2738"/>
    <w:rsid w:val="000F4546"/>
    <w:rsid w:val="000F5E3D"/>
    <w:rsid w:val="000F707E"/>
    <w:rsid w:val="00107596"/>
    <w:rsid w:val="00112F2E"/>
    <w:rsid w:val="00114550"/>
    <w:rsid w:val="001148D1"/>
    <w:rsid w:val="0011692E"/>
    <w:rsid w:val="001206DF"/>
    <w:rsid w:val="00121602"/>
    <w:rsid w:val="001223D7"/>
    <w:rsid w:val="0012336B"/>
    <w:rsid w:val="001250A3"/>
    <w:rsid w:val="001260AB"/>
    <w:rsid w:val="00131197"/>
    <w:rsid w:val="00132741"/>
    <w:rsid w:val="00133C7A"/>
    <w:rsid w:val="00135C01"/>
    <w:rsid w:val="00135CB9"/>
    <w:rsid w:val="001366FF"/>
    <w:rsid w:val="00136A64"/>
    <w:rsid w:val="00137B33"/>
    <w:rsid w:val="00141BC6"/>
    <w:rsid w:val="00143AD7"/>
    <w:rsid w:val="00143EBD"/>
    <w:rsid w:val="0014418B"/>
    <w:rsid w:val="001452B6"/>
    <w:rsid w:val="00146089"/>
    <w:rsid w:val="00146657"/>
    <w:rsid w:val="0014683B"/>
    <w:rsid w:val="0014757D"/>
    <w:rsid w:val="001500D9"/>
    <w:rsid w:val="00150D9C"/>
    <w:rsid w:val="00152955"/>
    <w:rsid w:val="001542F8"/>
    <w:rsid w:val="0015682D"/>
    <w:rsid w:val="001575D7"/>
    <w:rsid w:val="001578B3"/>
    <w:rsid w:val="001605D9"/>
    <w:rsid w:val="00161F6E"/>
    <w:rsid w:val="00162C73"/>
    <w:rsid w:val="001639B7"/>
    <w:rsid w:val="00165932"/>
    <w:rsid w:val="0016633D"/>
    <w:rsid w:val="00166C7E"/>
    <w:rsid w:val="0017198C"/>
    <w:rsid w:val="0017341C"/>
    <w:rsid w:val="0017349C"/>
    <w:rsid w:val="0017490D"/>
    <w:rsid w:val="00174AF2"/>
    <w:rsid w:val="00174AFE"/>
    <w:rsid w:val="0017524E"/>
    <w:rsid w:val="00176C2C"/>
    <w:rsid w:val="001773B7"/>
    <w:rsid w:val="00180077"/>
    <w:rsid w:val="00182252"/>
    <w:rsid w:val="00182989"/>
    <w:rsid w:val="00182C05"/>
    <w:rsid w:val="00185ECC"/>
    <w:rsid w:val="001866F9"/>
    <w:rsid w:val="001914CB"/>
    <w:rsid w:val="00193474"/>
    <w:rsid w:val="00194D5D"/>
    <w:rsid w:val="0019558B"/>
    <w:rsid w:val="00196F7B"/>
    <w:rsid w:val="001A143B"/>
    <w:rsid w:val="001A1687"/>
    <w:rsid w:val="001A19F7"/>
    <w:rsid w:val="001A3801"/>
    <w:rsid w:val="001A4571"/>
    <w:rsid w:val="001A4B95"/>
    <w:rsid w:val="001A4E24"/>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6EF6"/>
    <w:rsid w:val="001D7619"/>
    <w:rsid w:val="001E19FE"/>
    <w:rsid w:val="001E209F"/>
    <w:rsid w:val="001E350D"/>
    <w:rsid w:val="001E5387"/>
    <w:rsid w:val="001F0C13"/>
    <w:rsid w:val="001F2A69"/>
    <w:rsid w:val="001F4931"/>
    <w:rsid w:val="001F6057"/>
    <w:rsid w:val="001F6B72"/>
    <w:rsid w:val="002003CD"/>
    <w:rsid w:val="00200D0A"/>
    <w:rsid w:val="0020152D"/>
    <w:rsid w:val="00201A11"/>
    <w:rsid w:val="00203933"/>
    <w:rsid w:val="00203DB9"/>
    <w:rsid w:val="002066F3"/>
    <w:rsid w:val="00207FCC"/>
    <w:rsid w:val="00210E5E"/>
    <w:rsid w:val="002119CF"/>
    <w:rsid w:val="002120C1"/>
    <w:rsid w:val="00213203"/>
    <w:rsid w:val="002137FD"/>
    <w:rsid w:val="00214991"/>
    <w:rsid w:val="002150F4"/>
    <w:rsid w:val="00215358"/>
    <w:rsid w:val="00215CB2"/>
    <w:rsid w:val="00217FC1"/>
    <w:rsid w:val="00220042"/>
    <w:rsid w:val="0022327C"/>
    <w:rsid w:val="00223F5B"/>
    <w:rsid w:val="0022522A"/>
    <w:rsid w:val="0022696B"/>
    <w:rsid w:val="00226FEB"/>
    <w:rsid w:val="0022728C"/>
    <w:rsid w:val="0022751E"/>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7C9"/>
    <w:rsid w:val="00256EC5"/>
    <w:rsid w:val="002605B8"/>
    <w:rsid w:val="00260A1D"/>
    <w:rsid w:val="0026170B"/>
    <w:rsid w:val="002637F7"/>
    <w:rsid w:val="00267343"/>
    <w:rsid w:val="00270032"/>
    <w:rsid w:val="00272EE5"/>
    <w:rsid w:val="00273252"/>
    <w:rsid w:val="002737A5"/>
    <w:rsid w:val="002742BE"/>
    <w:rsid w:val="00274E01"/>
    <w:rsid w:val="00275AAC"/>
    <w:rsid w:val="00276ADA"/>
    <w:rsid w:val="00280784"/>
    <w:rsid w:val="002817E5"/>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551"/>
    <w:rsid w:val="002B021D"/>
    <w:rsid w:val="002B11DA"/>
    <w:rsid w:val="002B20DD"/>
    <w:rsid w:val="002B4571"/>
    <w:rsid w:val="002B63AE"/>
    <w:rsid w:val="002B7751"/>
    <w:rsid w:val="002C34CE"/>
    <w:rsid w:val="002C583E"/>
    <w:rsid w:val="002D2B76"/>
    <w:rsid w:val="002D2C35"/>
    <w:rsid w:val="002D5E8F"/>
    <w:rsid w:val="002D5FCD"/>
    <w:rsid w:val="002D7199"/>
    <w:rsid w:val="002D7602"/>
    <w:rsid w:val="002E32BC"/>
    <w:rsid w:val="002E43B7"/>
    <w:rsid w:val="002E71B4"/>
    <w:rsid w:val="002F0B20"/>
    <w:rsid w:val="002F36D3"/>
    <w:rsid w:val="002F6909"/>
    <w:rsid w:val="00303357"/>
    <w:rsid w:val="003034C6"/>
    <w:rsid w:val="0030360A"/>
    <w:rsid w:val="003036F0"/>
    <w:rsid w:val="003038D5"/>
    <w:rsid w:val="00303A9F"/>
    <w:rsid w:val="003054E4"/>
    <w:rsid w:val="00306BEB"/>
    <w:rsid w:val="003075D8"/>
    <w:rsid w:val="003125D4"/>
    <w:rsid w:val="003126B4"/>
    <w:rsid w:val="00312F0C"/>
    <w:rsid w:val="00312F25"/>
    <w:rsid w:val="0031390F"/>
    <w:rsid w:val="00313AE6"/>
    <w:rsid w:val="0031599A"/>
    <w:rsid w:val="00315B6A"/>
    <w:rsid w:val="00320477"/>
    <w:rsid w:val="00320A3C"/>
    <w:rsid w:val="00320E83"/>
    <w:rsid w:val="00321B0B"/>
    <w:rsid w:val="0032292A"/>
    <w:rsid w:val="003238F2"/>
    <w:rsid w:val="0032460C"/>
    <w:rsid w:val="003268E2"/>
    <w:rsid w:val="00326C07"/>
    <w:rsid w:val="00326EE4"/>
    <w:rsid w:val="00326F75"/>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09DC"/>
    <w:rsid w:val="0035286E"/>
    <w:rsid w:val="003530AF"/>
    <w:rsid w:val="0035528F"/>
    <w:rsid w:val="0035616E"/>
    <w:rsid w:val="00356917"/>
    <w:rsid w:val="00356B55"/>
    <w:rsid w:val="00360290"/>
    <w:rsid w:val="003604A4"/>
    <w:rsid w:val="003604AC"/>
    <w:rsid w:val="00360EB6"/>
    <w:rsid w:val="00362BC5"/>
    <w:rsid w:val="00363B44"/>
    <w:rsid w:val="00363C6B"/>
    <w:rsid w:val="00364335"/>
    <w:rsid w:val="00365635"/>
    <w:rsid w:val="0037192E"/>
    <w:rsid w:val="00371F91"/>
    <w:rsid w:val="00373566"/>
    <w:rsid w:val="00373689"/>
    <w:rsid w:val="00375271"/>
    <w:rsid w:val="00376FE4"/>
    <w:rsid w:val="00377A48"/>
    <w:rsid w:val="00377C58"/>
    <w:rsid w:val="00380F6B"/>
    <w:rsid w:val="003828EB"/>
    <w:rsid w:val="0038312C"/>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2008"/>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E3FFA"/>
    <w:rsid w:val="003E46CA"/>
    <w:rsid w:val="003E70A5"/>
    <w:rsid w:val="003F18CD"/>
    <w:rsid w:val="003F22DC"/>
    <w:rsid w:val="003F343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148A"/>
    <w:rsid w:val="00422BC4"/>
    <w:rsid w:val="004257D7"/>
    <w:rsid w:val="00426048"/>
    <w:rsid w:val="004274A1"/>
    <w:rsid w:val="004334C0"/>
    <w:rsid w:val="0043414B"/>
    <w:rsid w:val="00435425"/>
    <w:rsid w:val="004360B5"/>
    <w:rsid w:val="00437E83"/>
    <w:rsid w:val="0044073A"/>
    <w:rsid w:val="00441746"/>
    <w:rsid w:val="00442268"/>
    <w:rsid w:val="00444C53"/>
    <w:rsid w:val="0044748C"/>
    <w:rsid w:val="0045135E"/>
    <w:rsid w:val="00451FBB"/>
    <w:rsid w:val="00453BA2"/>
    <w:rsid w:val="00454EC0"/>
    <w:rsid w:val="004550CB"/>
    <w:rsid w:val="004562E2"/>
    <w:rsid w:val="00456A4D"/>
    <w:rsid w:val="004571B0"/>
    <w:rsid w:val="004572A4"/>
    <w:rsid w:val="00460483"/>
    <w:rsid w:val="00463FEF"/>
    <w:rsid w:val="00464526"/>
    <w:rsid w:val="00464BB0"/>
    <w:rsid w:val="00464BC8"/>
    <w:rsid w:val="0046525C"/>
    <w:rsid w:val="00465A61"/>
    <w:rsid w:val="004660B1"/>
    <w:rsid w:val="00466D9C"/>
    <w:rsid w:val="00471E40"/>
    <w:rsid w:val="00473674"/>
    <w:rsid w:val="004738AB"/>
    <w:rsid w:val="00473E9C"/>
    <w:rsid w:val="00476FCB"/>
    <w:rsid w:val="00477A78"/>
    <w:rsid w:val="0048103F"/>
    <w:rsid w:val="00482853"/>
    <w:rsid w:val="004842AD"/>
    <w:rsid w:val="00490045"/>
    <w:rsid w:val="0049010F"/>
    <w:rsid w:val="00491918"/>
    <w:rsid w:val="00492613"/>
    <w:rsid w:val="00492B5D"/>
    <w:rsid w:val="00492D48"/>
    <w:rsid w:val="00492E2A"/>
    <w:rsid w:val="0049377B"/>
    <w:rsid w:val="00495ED2"/>
    <w:rsid w:val="00496042"/>
    <w:rsid w:val="00496B11"/>
    <w:rsid w:val="00496CE1"/>
    <w:rsid w:val="00497B4B"/>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4FFD"/>
    <w:rsid w:val="004B5180"/>
    <w:rsid w:val="004B53E6"/>
    <w:rsid w:val="004B59DB"/>
    <w:rsid w:val="004B63C1"/>
    <w:rsid w:val="004B67CC"/>
    <w:rsid w:val="004B6E08"/>
    <w:rsid w:val="004C2823"/>
    <w:rsid w:val="004C465F"/>
    <w:rsid w:val="004C56E1"/>
    <w:rsid w:val="004C6D0F"/>
    <w:rsid w:val="004D06C6"/>
    <w:rsid w:val="004D18B5"/>
    <w:rsid w:val="004D2C48"/>
    <w:rsid w:val="004D5375"/>
    <w:rsid w:val="004D53F0"/>
    <w:rsid w:val="004D6022"/>
    <w:rsid w:val="004E0FD2"/>
    <w:rsid w:val="004E1C5E"/>
    <w:rsid w:val="004E560F"/>
    <w:rsid w:val="004E704A"/>
    <w:rsid w:val="004F370E"/>
    <w:rsid w:val="004F485A"/>
    <w:rsid w:val="004F5024"/>
    <w:rsid w:val="00501355"/>
    <w:rsid w:val="00502BD0"/>
    <w:rsid w:val="005038B3"/>
    <w:rsid w:val="00503B95"/>
    <w:rsid w:val="005048C8"/>
    <w:rsid w:val="00505FF4"/>
    <w:rsid w:val="00507200"/>
    <w:rsid w:val="005106F9"/>
    <w:rsid w:val="00511041"/>
    <w:rsid w:val="00512206"/>
    <w:rsid w:val="00513AF5"/>
    <w:rsid w:val="0051486D"/>
    <w:rsid w:val="005165CB"/>
    <w:rsid w:val="005169B1"/>
    <w:rsid w:val="0051740F"/>
    <w:rsid w:val="00517770"/>
    <w:rsid w:val="00520918"/>
    <w:rsid w:val="00524C87"/>
    <w:rsid w:val="00525194"/>
    <w:rsid w:val="00526C59"/>
    <w:rsid w:val="0053045E"/>
    <w:rsid w:val="00532D0A"/>
    <w:rsid w:val="00533217"/>
    <w:rsid w:val="00534F06"/>
    <w:rsid w:val="00535434"/>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6F7E"/>
    <w:rsid w:val="00560A41"/>
    <w:rsid w:val="00560CD5"/>
    <w:rsid w:val="00564717"/>
    <w:rsid w:val="0056784D"/>
    <w:rsid w:val="00570A17"/>
    <w:rsid w:val="00571118"/>
    <w:rsid w:val="00571BEF"/>
    <w:rsid w:val="0057284A"/>
    <w:rsid w:val="005729E8"/>
    <w:rsid w:val="00574E3A"/>
    <w:rsid w:val="00575543"/>
    <w:rsid w:val="00576148"/>
    <w:rsid w:val="00576315"/>
    <w:rsid w:val="00577C80"/>
    <w:rsid w:val="00582B72"/>
    <w:rsid w:val="00582D91"/>
    <w:rsid w:val="00583073"/>
    <w:rsid w:val="00583194"/>
    <w:rsid w:val="00583367"/>
    <w:rsid w:val="005846CF"/>
    <w:rsid w:val="00585B53"/>
    <w:rsid w:val="00586215"/>
    <w:rsid w:val="005864BA"/>
    <w:rsid w:val="00586ED8"/>
    <w:rsid w:val="00590F4B"/>
    <w:rsid w:val="005936FF"/>
    <w:rsid w:val="00593800"/>
    <w:rsid w:val="00593CA6"/>
    <w:rsid w:val="0059541C"/>
    <w:rsid w:val="005967AF"/>
    <w:rsid w:val="0059681D"/>
    <w:rsid w:val="00597EA6"/>
    <w:rsid w:val="00597F52"/>
    <w:rsid w:val="005A1938"/>
    <w:rsid w:val="005A54FF"/>
    <w:rsid w:val="005A76F3"/>
    <w:rsid w:val="005A7888"/>
    <w:rsid w:val="005A7898"/>
    <w:rsid w:val="005B1A8E"/>
    <w:rsid w:val="005B1EF4"/>
    <w:rsid w:val="005B3409"/>
    <w:rsid w:val="005B34CA"/>
    <w:rsid w:val="005B4814"/>
    <w:rsid w:val="005B4CAD"/>
    <w:rsid w:val="005C0880"/>
    <w:rsid w:val="005C11FB"/>
    <w:rsid w:val="005C2878"/>
    <w:rsid w:val="005C2E1C"/>
    <w:rsid w:val="005C32FC"/>
    <w:rsid w:val="005C4BCD"/>
    <w:rsid w:val="005C4E0A"/>
    <w:rsid w:val="005C58E2"/>
    <w:rsid w:val="005C5E98"/>
    <w:rsid w:val="005C6304"/>
    <w:rsid w:val="005C6887"/>
    <w:rsid w:val="005D08C5"/>
    <w:rsid w:val="005D1199"/>
    <w:rsid w:val="005D2A73"/>
    <w:rsid w:val="005D3EAD"/>
    <w:rsid w:val="005D670E"/>
    <w:rsid w:val="005E2188"/>
    <w:rsid w:val="005E2193"/>
    <w:rsid w:val="005F0693"/>
    <w:rsid w:val="005F1143"/>
    <w:rsid w:val="005F13C4"/>
    <w:rsid w:val="005F1DFB"/>
    <w:rsid w:val="005F214D"/>
    <w:rsid w:val="005F24EF"/>
    <w:rsid w:val="005F36F5"/>
    <w:rsid w:val="005F39EF"/>
    <w:rsid w:val="005F6D45"/>
    <w:rsid w:val="005F7196"/>
    <w:rsid w:val="0060073E"/>
    <w:rsid w:val="00600B2B"/>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B81"/>
    <w:rsid w:val="00646CD0"/>
    <w:rsid w:val="006477A1"/>
    <w:rsid w:val="006501B2"/>
    <w:rsid w:val="00650238"/>
    <w:rsid w:val="00655A59"/>
    <w:rsid w:val="00655B25"/>
    <w:rsid w:val="006617D9"/>
    <w:rsid w:val="006620EF"/>
    <w:rsid w:val="00664341"/>
    <w:rsid w:val="00665BA7"/>
    <w:rsid w:val="006666A9"/>
    <w:rsid w:val="00667BC4"/>
    <w:rsid w:val="00670284"/>
    <w:rsid w:val="0067091A"/>
    <w:rsid w:val="0067131B"/>
    <w:rsid w:val="0067160B"/>
    <w:rsid w:val="00673B4A"/>
    <w:rsid w:val="00673B55"/>
    <w:rsid w:val="006815B5"/>
    <w:rsid w:val="0068253B"/>
    <w:rsid w:val="00682A2B"/>
    <w:rsid w:val="0068463D"/>
    <w:rsid w:val="00684B53"/>
    <w:rsid w:val="006859B7"/>
    <w:rsid w:val="00685FA8"/>
    <w:rsid w:val="006915A4"/>
    <w:rsid w:val="00693ED9"/>
    <w:rsid w:val="006942FD"/>
    <w:rsid w:val="00694370"/>
    <w:rsid w:val="00695761"/>
    <w:rsid w:val="00696837"/>
    <w:rsid w:val="006A02A1"/>
    <w:rsid w:val="006A07D8"/>
    <w:rsid w:val="006A0D70"/>
    <w:rsid w:val="006A1596"/>
    <w:rsid w:val="006A21B4"/>
    <w:rsid w:val="006A291D"/>
    <w:rsid w:val="006A38C1"/>
    <w:rsid w:val="006A494E"/>
    <w:rsid w:val="006B0857"/>
    <w:rsid w:val="006B44C5"/>
    <w:rsid w:val="006B61A7"/>
    <w:rsid w:val="006B70AA"/>
    <w:rsid w:val="006C06BB"/>
    <w:rsid w:val="006C296C"/>
    <w:rsid w:val="006C3736"/>
    <w:rsid w:val="006C7B45"/>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C2F"/>
    <w:rsid w:val="006E7F7F"/>
    <w:rsid w:val="006F0033"/>
    <w:rsid w:val="006F1255"/>
    <w:rsid w:val="006F25C9"/>
    <w:rsid w:val="006F2C90"/>
    <w:rsid w:val="006F452F"/>
    <w:rsid w:val="006F46B0"/>
    <w:rsid w:val="006F4DE7"/>
    <w:rsid w:val="006F4F59"/>
    <w:rsid w:val="006F6024"/>
    <w:rsid w:val="006F648B"/>
    <w:rsid w:val="006F6C05"/>
    <w:rsid w:val="006F71E5"/>
    <w:rsid w:val="00700F94"/>
    <w:rsid w:val="007021D8"/>
    <w:rsid w:val="00702381"/>
    <w:rsid w:val="00703083"/>
    <w:rsid w:val="007036BE"/>
    <w:rsid w:val="00704EB5"/>
    <w:rsid w:val="0070735A"/>
    <w:rsid w:val="00711003"/>
    <w:rsid w:val="00711EF4"/>
    <w:rsid w:val="00712B23"/>
    <w:rsid w:val="00716A44"/>
    <w:rsid w:val="0071796A"/>
    <w:rsid w:val="00717B9F"/>
    <w:rsid w:val="00721018"/>
    <w:rsid w:val="00721CAE"/>
    <w:rsid w:val="0072268E"/>
    <w:rsid w:val="00723F96"/>
    <w:rsid w:val="00724532"/>
    <w:rsid w:val="007251D1"/>
    <w:rsid w:val="00725708"/>
    <w:rsid w:val="00726878"/>
    <w:rsid w:val="00726CE6"/>
    <w:rsid w:val="00726FE1"/>
    <w:rsid w:val="00727BCF"/>
    <w:rsid w:val="00732509"/>
    <w:rsid w:val="00734269"/>
    <w:rsid w:val="007344D5"/>
    <w:rsid w:val="00741F36"/>
    <w:rsid w:val="00743FE0"/>
    <w:rsid w:val="00745EED"/>
    <w:rsid w:val="0074621C"/>
    <w:rsid w:val="007467CE"/>
    <w:rsid w:val="0074790A"/>
    <w:rsid w:val="00750341"/>
    <w:rsid w:val="0075046C"/>
    <w:rsid w:val="007516D8"/>
    <w:rsid w:val="00752E6A"/>
    <w:rsid w:val="00754758"/>
    <w:rsid w:val="00755063"/>
    <w:rsid w:val="0075569A"/>
    <w:rsid w:val="00757015"/>
    <w:rsid w:val="0076538E"/>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BE9"/>
    <w:rsid w:val="00782F40"/>
    <w:rsid w:val="00783127"/>
    <w:rsid w:val="00783677"/>
    <w:rsid w:val="00786768"/>
    <w:rsid w:val="00786993"/>
    <w:rsid w:val="007877D4"/>
    <w:rsid w:val="007900F8"/>
    <w:rsid w:val="00791D30"/>
    <w:rsid w:val="0079594D"/>
    <w:rsid w:val="0079619A"/>
    <w:rsid w:val="007968A5"/>
    <w:rsid w:val="00797F9C"/>
    <w:rsid w:val="007A06A4"/>
    <w:rsid w:val="007A1AE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7B3B"/>
    <w:rsid w:val="007F0525"/>
    <w:rsid w:val="007F0C28"/>
    <w:rsid w:val="007F1006"/>
    <w:rsid w:val="007F11EE"/>
    <w:rsid w:val="007F186F"/>
    <w:rsid w:val="007F5CF4"/>
    <w:rsid w:val="00800D00"/>
    <w:rsid w:val="0080156B"/>
    <w:rsid w:val="008029C8"/>
    <w:rsid w:val="00804049"/>
    <w:rsid w:val="00805A0D"/>
    <w:rsid w:val="00805A65"/>
    <w:rsid w:val="00805C79"/>
    <w:rsid w:val="00810268"/>
    <w:rsid w:val="00811F6A"/>
    <w:rsid w:val="0081333D"/>
    <w:rsid w:val="008139C6"/>
    <w:rsid w:val="00813D64"/>
    <w:rsid w:val="00815830"/>
    <w:rsid w:val="00816301"/>
    <w:rsid w:val="00817787"/>
    <w:rsid w:val="0082002F"/>
    <w:rsid w:val="008201A2"/>
    <w:rsid w:val="008202A5"/>
    <w:rsid w:val="0082108E"/>
    <w:rsid w:val="0082286C"/>
    <w:rsid w:val="008249E4"/>
    <w:rsid w:val="00824D70"/>
    <w:rsid w:val="00824F73"/>
    <w:rsid w:val="008341B7"/>
    <w:rsid w:val="00834804"/>
    <w:rsid w:val="00836BD1"/>
    <w:rsid w:val="00836DBC"/>
    <w:rsid w:val="00840735"/>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3741"/>
    <w:rsid w:val="0086481A"/>
    <w:rsid w:val="0086552D"/>
    <w:rsid w:val="00872179"/>
    <w:rsid w:val="00872796"/>
    <w:rsid w:val="008728B4"/>
    <w:rsid w:val="00872BB2"/>
    <w:rsid w:val="0087441C"/>
    <w:rsid w:val="00875E04"/>
    <w:rsid w:val="00877EAB"/>
    <w:rsid w:val="00884B54"/>
    <w:rsid w:val="0088510C"/>
    <w:rsid w:val="008863D3"/>
    <w:rsid w:val="00886A4B"/>
    <w:rsid w:val="008903E7"/>
    <w:rsid w:val="00892F31"/>
    <w:rsid w:val="00893D3E"/>
    <w:rsid w:val="00895A64"/>
    <w:rsid w:val="00896C25"/>
    <w:rsid w:val="00896D95"/>
    <w:rsid w:val="00896F4F"/>
    <w:rsid w:val="008A037F"/>
    <w:rsid w:val="008A0940"/>
    <w:rsid w:val="008A173A"/>
    <w:rsid w:val="008A1FDB"/>
    <w:rsid w:val="008A22F9"/>
    <w:rsid w:val="008A35AD"/>
    <w:rsid w:val="008A5C21"/>
    <w:rsid w:val="008A61B2"/>
    <w:rsid w:val="008A7E44"/>
    <w:rsid w:val="008B232F"/>
    <w:rsid w:val="008B2D65"/>
    <w:rsid w:val="008B2E3C"/>
    <w:rsid w:val="008B3AF0"/>
    <w:rsid w:val="008B3E76"/>
    <w:rsid w:val="008B4AC0"/>
    <w:rsid w:val="008B63A2"/>
    <w:rsid w:val="008B63E4"/>
    <w:rsid w:val="008B66C3"/>
    <w:rsid w:val="008C0585"/>
    <w:rsid w:val="008C08C0"/>
    <w:rsid w:val="008C0E34"/>
    <w:rsid w:val="008C1404"/>
    <w:rsid w:val="008C1C94"/>
    <w:rsid w:val="008C25AC"/>
    <w:rsid w:val="008C35E7"/>
    <w:rsid w:val="008C3A49"/>
    <w:rsid w:val="008C3BF6"/>
    <w:rsid w:val="008C3FA4"/>
    <w:rsid w:val="008C4679"/>
    <w:rsid w:val="008C5EDC"/>
    <w:rsid w:val="008C6391"/>
    <w:rsid w:val="008D2F9E"/>
    <w:rsid w:val="008D3755"/>
    <w:rsid w:val="008D38C7"/>
    <w:rsid w:val="008D40B6"/>
    <w:rsid w:val="008D4EC7"/>
    <w:rsid w:val="008D4FB1"/>
    <w:rsid w:val="008D6073"/>
    <w:rsid w:val="008D68F1"/>
    <w:rsid w:val="008D77E0"/>
    <w:rsid w:val="008E29B9"/>
    <w:rsid w:val="008E2C8D"/>
    <w:rsid w:val="008E4023"/>
    <w:rsid w:val="008E4E07"/>
    <w:rsid w:val="008E59F7"/>
    <w:rsid w:val="008E5B69"/>
    <w:rsid w:val="008E63B9"/>
    <w:rsid w:val="008E6769"/>
    <w:rsid w:val="008E711A"/>
    <w:rsid w:val="008E7ED1"/>
    <w:rsid w:val="008F0A87"/>
    <w:rsid w:val="008F2FA1"/>
    <w:rsid w:val="008F3A86"/>
    <w:rsid w:val="008F4C12"/>
    <w:rsid w:val="008F4FFE"/>
    <w:rsid w:val="008F6A52"/>
    <w:rsid w:val="008F6B6F"/>
    <w:rsid w:val="008F6C20"/>
    <w:rsid w:val="00900826"/>
    <w:rsid w:val="0090483C"/>
    <w:rsid w:val="00904EC1"/>
    <w:rsid w:val="00904F35"/>
    <w:rsid w:val="0090582A"/>
    <w:rsid w:val="00907754"/>
    <w:rsid w:val="00907DC8"/>
    <w:rsid w:val="0091097D"/>
    <w:rsid w:val="009110BE"/>
    <w:rsid w:val="00917D81"/>
    <w:rsid w:val="00922003"/>
    <w:rsid w:val="009238B6"/>
    <w:rsid w:val="00923CD6"/>
    <w:rsid w:val="00925376"/>
    <w:rsid w:val="00926845"/>
    <w:rsid w:val="009304DE"/>
    <w:rsid w:val="009314BA"/>
    <w:rsid w:val="009334D1"/>
    <w:rsid w:val="0093353B"/>
    <w:rsid w:val="00934180"/>
    <w:rsid w:val="009342CB"/>
    <w:rsid w:val="009348A6"/>
    <w:rsid w:val="00934E03"/>
    <w:rsid w:val="00935030"/>
    <w:rsid w:val="0094107F"/>
    <w:rsid w:val="00941301"/>
    <w:rsid w:val="0094180D"/>
    <w:rsid w:val="009420DF"/>
    <w:rsid w:val="009453D3"/>
    <w:rsid w:val="00945F95"/>
    <w:rsid w:val="0094650B"/>
    <w:rsid w:val="00946517"/>
    <w:rsid w:val="009472BE"/>
    <w:rsid w:val="00950940"/>
    <w:rsid w:val="00950DAE"/>
    <w:rsid w:val="0095417C"/>
    <w:rsid w:val="009546D0"/>
    <w:rsid w:val="00956973"/>
    <w:rsid w:val="00962260"/>
    <w:rsid w:val="00962584"/>
    <w:rsid w:val="00964672"/>
    <w:rsid w:val="00965813"/>
    <w:rsid w:val="009676D3"/>
    <w:rsid w:val="00970533"/>
    <w:rsid w:val="00971BA6"/>
    <w:rsid w:val="0097209D"/>
    <w:rsid w:val="00972117"/>
    <w:rsid w:val="009737BA"/>
    <w:rsid w:val="00974604"/>
    <w:rsid w:val="00975F1C"/>
    <w:rsid w:val="00977B8A"/>
    <w:rsid w:val="00977DAE"/>
    <w:rsid w:val="0098102E"/>
    <w:rsid w:val="00983799"/>
    <w:rsid w:val="009839A8"/>
    <w:rsid w:val="00987D74"/>
    <w:rsid w:val="00987EC0"/>
    <w:rsid w:val="00991839"/>
    <w:rsid w:val="00991F53"/>
    <w:rsid w:val="00993000"/>
    <w:rsid w:val="00994AE0"/>
    <w:rsid w:val="00994F51"/>
    <w:rsid w:val="00996039"/>
    <w:rsid w:val="009977DB"/>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3368"/>
    <w:rsid w:val="009C373A"/>
    <w:rsid w:val="009C3817"/>
    <w:rsid w:val="009C3A9C"/>
    <w:rsid w:val="009C4AF7"/>
    <w:rsid w:val="009C5264"/>
    <w:rsid w:val="009C561D"/>
    <w:rsid w:val="009C7010"/>
    <w:rsid w:val="009D0805"/>
    <w:rsid w:val="009D0EC2"/>
    <w:rsid w:val="009D31E7"/>
    <w:rsid w:val="009D5D63"/>
    <w:rsid w:val="009D6BA8"/>
    <w:rsid w:val="009D7ED9"/>
    <w:rsid w:val="009E0558"/>
    <w:rsid w:val="009E21D5"/>
    <w:rsid w:val="009E286C"/>
    <w:rsid w:val="009E3384"/>
    <w:rsid w:val="009E41A4"/>
    <w:rsid w:val="009E6366"/>
    <w:rsid w:val="009F0A63"/>
    <w:rsid w:val="009F0FCB"/>
    <w:rsid w:val="009F22D5"/>
    <w:rsid w:val="009F2D66"/>
    <w:rsid w:val="009F392E"/>
    <w:rsid w:val="009F47E7"/>
    <w:rsid w:val="009F568A"/>
    <w:rsid w:val="009F56DE"/>
    <w:rsid w:val="009F6301"/>
    <w:rsid w:val="009F773F"/>
    <w:rsid w:val="00A01BD9"/>
    <w:rsid w:val="00A02EFA"/>
    <w:rsid w:val="00A04747"/>
    <w:rsid w:val="00A0681B"/>
    <w:rsid w:val="00A06919"/>
    <w:rsid w:val="00A1011F"/>
    <w:rsid w:val="00A1259D"/>
    <w:rsid w:val="00A13732"/>
    <w:rsid w:val="00A13995"/>
    <w:rsid w:val="00A159CE"/>
    <w:rsid w:val="00A20FCF"/>
    <w:rsid w:val="00A21405"/>
    <w:rsid w:val="00A24277"/>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56F9"/>
    <w:rsid w:val="00A45883"/>
    <w:rsid w:val="00A509CA"/>
    <w:rsid w:val="00A515F1"/>
    <w:rsid w:val="00A51C2D"/>
    <w:rsid w:val="00A53694"/>
    <w:rsid w:val="00A53C70"/>
    <w:rsid w:val="00A54BFE"/>
    <w:rsid w:val="00A558C6"/>
    <w:rsid w:val="00A5728A"/>
    <w:rsid w:val="00A57670"/>
    <w:rsid w:val="00A6050B"/>
    <w:rsid w:val="00A628F3"/>
    <w:rsid w:val="00A65FA6"/>
    <w:rsid w:val="00A66974"/>
    <w:rsid w:val="00A703B3"/>
    <w:rsid w:val="00A71AC8"/>
    <w:rsid w:val="00A725FB"/>
    <w:rsid w:val="00A74269"/>
    <w:rsid w:val="00A75674"/>
    <w:rsid w:val="00A81CF2"/>
    <w:rsid w:val="00A834C7"/>
    <w:rsid w:val="00A853B2"/>
    <w:rsid w:val="00A8693F"/>
    <w:rsid w:val="00A86E6B"/>
    <w:rsid w:val="00A87258"/>
    <w:rsid w:val="00A911FC"/>
    <w:rsid w:val="00A918F7"/>
    <w:rsid w:val="00A94D9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0C5"/>
    <w:rsid w:val="00AC42E1"/>
    <w:rsid w:val="00AC4335"/>
    <w:rsid w:val="00AC4D17"/>
    <w:rsid w:val="00AC4F57"/>
    <w:rsid w:val="00AC6892"/>
    <w:rsid w:val="00AD0F1E"/>
    <w:rsid w:val="00AD2D55"/>
    <w:rsid w:val="00AD2FB8"/>
    <w:rsid w:val="00AD41A1"/>
    <w:rsid w:val="00AE0A6A"/>
    <w:rsid w:val="00AE0D5E"/>
    <w:rsid w:val="00AE1F07"/>
    <w:rsid w:val="00AE2C3C"/>
    <w:rsid w:val="00AE5FAD"/>
    <w:rsid w:val="00AF1A97"/>
    <w:rsid w:val="00AF241B"/>
    <w:rsid w:val="00AF3A53"/>
    <w:rsid w:val="00AF3E8D"/>
    <w:rsid w:val="00AF48AD"/>
    <w:rsid w:val="00AF64B9"/>
    <w:rsid w:val="00AF7EB9"/>
    <w:rsid w:val="00B02CD9"/>
    <w:rsid w:val="00B0366F"/>
    <w:rsid w:val="00B0636E"/>
    <w:rsid w:val="00B06C31"/>
    <w:rsid w:val="00B07C9E"/>
    <w:rsid w:val="00B07DE3"/>
    <w:rsid w:val="00B12C89"/>
    <w:rsid w:val="00B14308"/>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AB7"/>
    <w:rsid w:val="00B26B5C"/>
    <w:rsid w:val="00B271CC"/>
    <w:rsid w:val="00B33723"/>
    <w:rsid w:val="00B33FBF"/>
    <w:rsid w:val="00B34898"/>
    <w:rsid w:val="00B34E1A"/>
    <w:rsid w:val="00B35752"/>
    <w:rsid w:val="00B35F79"/>
    <w:rsid w:val="00B35FA0"/>
    <w:rsid w:val="00B3675D"/>
    <w:rsid w:val="00B41B0E"/>
    <w:rsid w:val="00B428A1"/>
    <w:rsid w:val="00B43E78"/>
    <w:rsid w:val="00B4444E"/>
    <w:rsid w:val="00B4710E"/>
    <w:rsid w:val="00B4749C"/>
    <w:rsid w:val="00B506E0"/>
    <w:rsid w:val="00B50769"/>
    <w:rsid w:val="00B5110D"/>
    <w:rsid w:val="00B52B85"/>
    <w:rsid w:val="00B52CEE"/>
    <w:rsid w:val="00B54EA8"/>
    <w:rsid w:val="00B56763"/>
    <w:rsid w:val="00B6080C"/>
    <w:rsid w:val="00B60C55"/>
    <w:rsid w:val="00B60E92"/>
    <w:rsid w:val="00B6159A"/>
    <w:rsid w:val="00B6501E"/>
    <w:rsid w:val="00B66AB1"/>
    <w:rsid w:val="00B670CC"/>
    <w:rsid w:val="00B67C24"/>
    <w:rsid w:val="00B707DD"/>
    <w:rsid w:val="00B7190A"/>
    <w:rsid w:val="00B72378"/>
    <w:rsid w:val="00B7475F"/>
    <w:rsid w:val="00B75D0D"/>
    <w:rsid w:val="00B83275"/>
    <w:rsid w:val="00B8478F"/>
    <w:rsid w:val="00B8581B"/>
    <w:rsid w:val="00B86BD9"/>
    <w:rsid w:val="00B87107"/>
    <w:rsid w:val="00B87221"/>
    <w:rsid w:val="00B92051"/>
    <w:rsid w:val="00B92EAC"/>
    <w:rsid w:val="00B93319"/>
    <w:rsid w:val="00B936D5"/>
    <w:rsid w:val="00B94777"/>
    <w:rsid w:val="00B95764"/>
    <w:rsid w:val="00B96397"/>
    <w:rsid w:val="00B96532"/>
    <w:rsid w:val="00B97B2E"/>
    <w:rsid w:val="00BA0623"/>
    <w:rsid w:val="00BA09EC"/>
    <w:rsid w:val="00BA0BB0"/>
    <w:rsid w:val="00BA11BA"/>
    <w:rsid w:val="00BA2807"/>
    <w:rsid w:val="00BA482B"/>
    <w:rsid w:val="00BB031B"/>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C7450"/>
    <w:rsid w:val="00BD0C71"/>
    <w:rsid w:val="00BD603C"/>
    <w:rsid w:val="00BD60C0"/>
    <w:rsid w:val="00BE06B9"/>
    <w:rsid w:val="00BE4527"/>
    <w:rsid w:val="00BE6734"/>
    <w:rsid w:val="00BF0BD8"/>
    <w:rsid w:val="00BF15C2"/>
    <w:rsid w:val="00BF2D39"/>
    <w:rsid w:val="00BF3AD9"/>
    <w:rsid w:val="00BF414A"/>
    <w:rsid w:val="00C00238"/>
    <w:rsid w:val="00C01980"/>
    <w:rsid w:val="00C01DC8"/>
    <w:rsid w:val="00C03CF5"/>
    <w:rsid w:val="00C03D46"/>
    <w:rsid w:val="00C0554D"/>
    <w:rsid w:val="00C064A9"/>
    <w:rsid w:val="00C109CE"/>
    <w:rsid w:val="00C10F29"/>
    <w:rsid w:val="00C11963"/>
    <w:rsid w:val="00C14829"/>
    <w:rsid w:val="00C15B68"/>
    <w:rsid w:val="00C21978"/>
    <w:rsid w:val="00C2346A"/>
    <w:rsid w:val="00C2651C"/>
    <w:rsid w:val="00C2705C"/>
    <w:rsid w:val="00C3278D"/>
    <w:rsid w:val="00C34974"/>
    <w:rsid w:val="00C3542B"/>
    <w:rsid w:val="00C35956"/>
    <w:rsid w:val="00C361AC"/>
    <w:rsid w:val="00C36548"/>
    <w:rsid w:val="00C374A4"/>
    <w:rsid w:val="00C43B6B"/>
    <w:rsid w:val="00C444B3"/>
    <w:rsid w:val="00C4496F"/>
    <w:rsid w:val="00C452B5"/>
    <w:rsid w:val="00C45DCC"/>
    <w:rsid w:val="00C53519"/>
    <w:rsid w:val="00C5428A"/>
    <w:rsid w:val="00C5678F"/>
    <w:rsid w:val="00C57E4A"/>
    <w:rsid w:val="00C60815"/>
    <w:rsid w:val="00C6135E"/>
    <w:rsid w:val="00C61829"/>
    <w:rsid w:val="00C623E0"/>
    <w:rsid w:val="00C62AF3"/>
    <w:rsid w:val="00C62EDC"/>
    <w:rsid w:val="00C70BED"/>
    <w:rsid w:val="00C712D8"/>
    <w:rsid w:val="00C73ED6"/>
    <w:rsid w:val="00C7502E"/>
    <w:rsid w:val="00C77DF7"/>
    <w:rsid w:val="00C8017B"/>
    <w:rsid w:val="00C838D4"/>
    <w:rsid w:val="00C8614B"/>
    <w:rsid w:val="00C861A9"/>
    <w:rsid w:val="00C86203"/>
    <w:rsid w:val="00C86330"/>
    <w:rsid w:val="00C91D6D"/>
    <w:rsid w:val="00C92EEB"/>
    <w:rsid w:val="00C942DD"/>
    <w:rsid w:val="00C94DDF"/>
    <w:rsid w:val="00C95A50"/>
    <w:rsid w:val="00C96526"/>
    <w:rsid w:val="00C97A0D"/>
    <w:rsid w:val="00CA01E2"/>
    <w:rsid w:val="00CA1440"/>
    <w:rsid w:val="00CA28B6"/>
    <w:rsid w:val="00CA3477"/>
    <w:rsid w:val="00CA5C84"/>
    <w:rsid w:val="00CA6053"/>
    <w:rsid w:val="00CA6819"/>
    <w:rsid w:val="00CA6BBF"/>
    <w:rsid w:val="00CB0293"/>
    <w:rsid w:val="00CB260E"/>
    <w:rsid w:val="00CB40D6"/>
    <w:rsid w:val="00CB41EC"/>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3E0E"/>
    <w:rsid w:val="00CD44BA"/>
    <w:rsid w:val="00CD4D8A"/>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5241"/>
    <w:rsid w:val="00CF7FAB"/>
    <w:rsid w:val="00D048BA"/>
    <w:rsid w:val="00D04ED6"/>
    <w:rsid w:val="00D04FF8"/>
    <w:rsid w:val="00D05F38"/>
    <w:rsid w:val="00D07371"/>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E3A"/>
    <w:rsid w:val="00D35F2F"/>
    <w:rsid w:val="00D3609A"/>
    <w:rsid w:val="00D37AA0"/>
    <w:rsid w:val="00D406DA"/>
    <w:rsid w:val="00D40865"/>
    <w:rsid w:val="00D41790"/>
    <w:rsid w:val="00D423AD"/>
    <w:rsid w:val="00D4341C"/>
    <w:rsid w:val="00D43C0B"/>
    <w:rsid w:val="00D44FCE"/>
    <w:rsid w:val="00D50A8E"/>
    <w:rsid w:val="00D51608"/>
    <w:rsid w:val="00D53974"/>
    <w:rsid w:val="00D54079"/>
    <w:rsid w:val="00D64CBA"/>
    <w:rsid w:val="00D657CE"/>
    <w:rsid w:val="00D65828"/>
    <w:rsid w:val="00D733C6"/>
    <w:rsid w:val="00D73D26"/>
    <w:rsid w:val="00D74A10"/>
    <w:rsid w:val="00D754C0"/>
    <w:rsid w:val="00D8002B"/>
    <w:rsid w:val="00D81A50"/>
    <w:rsid w:val="00D83FF4"/>
    <w:rsid w:val="00D863A1"/>
    <w:rsid w:val="00D8670F"/>
    <w:rsid w:val="00D873ED"/>
    <w:rsid w:val="00D92A30"/>
    <w:rsid w:val="00D92F69"/>
    <w:rsid w:val="00D93A44"/>
    <w:rsid w:val="00D9551A"/>
    <w:rsid w:val="00D97BC7"/>
    <w:rsid w:val="00D97CB5"/>
    <w:rsid w:val="00DA296B"/>
    <w:rsid w:val="00DA2AF8"/>
    <w:rsid w:val="00DA2BD0"/>
    <w:rsid w:val="00DA36E7"/>
    <w:rsid w:val="00DA47B0"/>
    <w:rsid w:val="00DA6C9E"/>
    <w:rsid w:val="00DA72D4"/>
    <w:rsid w:val="00DB1668"/>
    <w:rsid w:val="00DB3288"/>
    <w:rsid w:val="00DB68C7"/>
    <w:rsid w:val="00DC00F4"/>
    <w:rsid w:val="00DC0EF1"/>
    <w:rsid w:val="00DC1DB7"/>
    <w:rsid w:val="00DC58C8"/>
    <w:rsid w:val="00DC5903"/>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1310"/>
    <w:rsid w:val="00DF13D5"/>
    <w:rsid w:val="00DF1C18"/>
    <w:rsid w:val="00DF1E81"/>
    <w:rsid w:val="00DF228E"/>
    <w:rsid w:val="00DF22A0"/>
    <w:rsid w:val="00DF2673"/>
    <w:rsid w:val="00DF2B14"/>
    <w:rsid w:val="00DF2FC1"/>
    <w:rsid w:val="00DF4273"/>
    <w:rsid w:val="00DF4B75"/>
    <w:rsid w:val="00DF60BC"/>
    <w:rsid w:val="00DF60D2"/>
    <w:rsid w:val="00DF6214"/>
    <w:rsid w:val="00DF6588"/>
    <w:rsid w:val="00E03800"/>
    <w:rsid w:val="00E05F95"/>
    <w:rsid w:val="00E07A99"/>
    <w:rsid w:val="00E1065B"/>
    <w:rsid w:val="00E10A8D"/>
    <w:rsid w:val="00E12A1E"/>
    <w:rsid w:val="00E12F13"/>
    <w:rsid w:val="00E22316"/>
    <w:rsid w:val="00E22770"/>
    <w:rsid w:val="00E23F79"/>
    <w:rsid w:val="00E2425D"/>
    <w:rsid w:val="00E24BF2"/>
    <w:rsid w:val="00E25981"/>
    <w:rsid w:val="00E25E6F"/>
    <w:rsid w:val="00E26395"/>
    <w:rsid w:val="00E26DAE"/>
    <w:rsid w:val="00E27ECD"/>
    <w:rsid w:val="00E31C5B"/>
    <w:rsid w:val="00E33B4C"/>
    <w:rsid w:val="00E33BE5"/>
    <w:rsid w:val="00E33BFE"/>
    <w:rsid w:val="00E33F85"/>
    <w:rsid w:val="00E348B1"/>
    <w:rsid w:val="00E36F3F"/>
    <w:rsid w:val="00E37BD3"/>
    <w:rsid w:val="00E37BEF"/>
    <w:rsid w:val="00E421C0"/>
    <w:rsid w:val="00E42428"/>
    <w:rsid w:val="00E42491"/>
    <w:rsid w:val="00E425C2"/>
    <w:rsid w:val="00E425EE"/>
    <w:rsid w:val="00E46665"/>
    <w:rsid w:val="00E46AE8"/>
    <w:rsid w:val="00E4734A"/>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644"/>
    <w:rsid w:val="00E728B7"/>
    <w:rsid w:val="00E72920"/>
    <w:rsid w:val="00E7454A"/>
    <w:rsid w:val="00E75300"/>
    <w:rsid w:val="00E76C20"/>
    <w:rsid w:val="00E77CE6"/>
    <w:rsid w:val="00E80865"/>
    <w:rsid w:val="00E81047"/>
    <w:rsid w:val="00E8151A"/>
    <w:rsid w:val="00E82094"/>
    <w:rsid w:val="00E8581A"/>
    <w:rsid w:val="00E85E3B"/>
    <w:rsid w:val="00E86C7A"/>
    <w:rsid w:val="00E905FF"/>
    <w:rsid w:val="00E9162F"/>
    <w:rsid w:val="00E91AD4"/>
    <w:rsid w:val="00E91EAE"/>
    <w:rsid w:val="00E92616"/>
    <w:rsid w:val="00E93301"/>
    <w:rsid w:val="00E952F6"/>
    <w:rsid w:val="00E95C36"/>
    <w:rsid w:val="00E970EA"/>
    <w:rsid w:val="00EA0057"/>
    <w:rsid w:val="00EA29EC"/>
    <w:rsid w:val="00EA5C12"/>
    <w:rsid w:val="00EA7878"/>
    <w:rsid w:val="00EB328D"/>
    <w:rsid w:val="00EB597D"/>
    <w:rsid w:val="00EC0CF4"/>
    <w:rsid w:val="00EC145A"/>
    <w:rsid w:val="00EC1A9F"/>
    <w:rsid w:val="00EC39EA"/>
    <w:rsid w:val="00EC51CC"/>
    <w:rsid w:val="00EC5540"/>
    <w:rsid w:val="00EC73D8"/>
    <w:rsid w:val="00EC7573"/>
    <w:rsid w:val="00ED39F8"/>
    <w:rsid w:val="00ED51EE"/>
    <w:rsid w:val="00ED6B25"/>
    <w:rsid w:val="00EE0B0C"/>
    <w:rsid w:val="00EE1D69"/>
    <w:rsid w:val="00EE1E2E"/>
    <w:rsid w:val="00EE2694"/>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882"/>
    <w:rsid w:val="00F0558E"/>
    <w:rsid w:val="00F06DA9"/>
    <w:rsid w:val="00F07B14"/>
    <w:rsid w:val="00F100E6"/>
    <w:rsid w:val="00F10383"/>
    <w:rsid w:val="00F123B0"/>
    <w:rsid w:val="00F12F94"/>
    <w:rsid w:val="00F1595C"/>
    <w:rsid w:val="00F1784D"/>
    <w:rsid w:val="00F17F4C"/>
    <w:rsid w:val="00F23626"/>
    <w:rsid w:val="00F23B5E"/>
    <w:rsid w:val="00F24CBF"/>
    <w:rsid w:val="00F2676F"/>
    <w:rsid w:val="00F3268D"/>
    <w:rsid w:val="00F348B7"/>
    <w:rsid w:val="00F34BD1"/>
    <w:rsid w:val="00F35321"/>
    <w:rsid w:val="00F368B7"/>
    <w:rsid w:val="00F375F2"/>
    <w:rsid w:val="00F377D5"/>
    <w:rsid w:val="00F408B0"/>
    <w:rsid w:val="00F41592"/>
    <w:rsid w:val="00F425C6"/>
    <w:rsid w:val="00F431AC"/>
    <w:rsid w:val="00F433F7"/>
    <w:rsid w:val="00F44337"/>
    <w:rsid w:val="00F46FDE"/>
    <w:rsid w:val="00F47C76"/>
    <w:rsid w:val="00F515EE"/>
    <w:rsid w:val="00F52116"/>
    <w:rsid w:val="00F53B50"/>
    <w:rsid w:val="00F54C6A"/>
    <w:rsid w:val="00F57B70"/>
    <w:rsid w:val="00F60038"/>
    <w:rsid w:val="00F60C3B"/>
    <w:rsid w:val="00F61493"/>
    <w:rsid w:val="00F62021"/>
    <w:rsid w:val="00F6223A"/>
    <w:rsid w:val="00F62292"/>
    <w:rsid w:val="00F64CEC"/>
    <w:rsid w:val="00F659E8"/>
    <w:rsid w:val="00F65BCE"/>
    <w:rsid w:val="00F67486"/>
    <w:rsid w:val="00F707EB"/>
    <w:rsid w:val="00F70AC8"/>
    <w:rsid w:val="00F726EB"/>
    <w:rsid w:val="00F731BD"/>
    <w:rsid w:val="00F760FE"/>
    <w:rsid w:val="00F76301"/>
    <w:rsid w:val="00F76787"/>
    <w:rsid w:val="00F772CB"/>
    <w:rsid w:val="00F8379F"/>
    <w:rsid w:val="00F8475A"/>
    <w:rsid w:val="00F85BF8"/>
    <w:rsid w:val="00F85DDA"/>
    <w:rsid w:val="00F863EF"/>
    <w:rsid w:val="00F865D4"/>
    <w:rsid w:val="00F8687A"/>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607E"/>
    <w:rsid w:val="00FC6194"/>
    <w:rsid w:val="00FC61A8"/>
    <w:rsid w:val="00FC6AD7"/>
    <w:rsid w:val="00FC6C53"/>
    <w:rsid w:val="00FC7BBB"/>
    <w:rsid w:val="00FD1938"/>
    <w:rsid w:val="00FD1A0A"/>
    <w:rsid w:val="00FD2BA4"/>
    <w:rsid w:val="00FD31B9"/>
    <w:rsid w:val="00FD3469"/>
    <w:rsid w:val="00FD60E3"/>
    <w:rsid w:val="00FD67B3"/>
    <w:rsid w:val="00FD7A98"/>
    <w:rsid w:val="00FE07E4"/>
    <w:rsid w:val="00FE20A4"/>
    <w:rsid w:val="00FE238F"/>
    <w:rsid w:val="00FE35CD"/>
    <w:rsid w:val="00FE4342"/>
    <w:rsid w:val="00FE46AF"/>
    <w:rsid w:val="00FE5303"/>
    <w:rsid w:val="00FE5592"/>
    <w:rsid w:val="00FE67B4"/>
    <w:rsid w:val="00FE69D3"/>
    <w:rsid w:val="00FE69FA"/>
    <w:rsid w:val="00FE7A75"/>
    <w:rsid w:val="00FF02C2"/>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7E8AFEC"/>
  <w15:docId w15:val="{81081AA5-4B9F-455E-8B86-F99EC9514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basedOn w:val="Normlny"/>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Vraz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98"/>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865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202331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akazkycko@vla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kazkycko@vlada.gov.sk"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2.xml><?xml version="1.0" encoding="utf-8"?>
<ds:datastoreItem xmlns:ds="http://schemas.openxmlformats.org/officeDocument/2006/customXml" ds:itemID="{78FFEC60-5313-422D-919B-96E857DAB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0F6E1A4-9195-4FAE-B89D-0B97CEB873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FB1642-ACE9-4353-815C-6A9F15670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26</Pages>
  <Words>4726</Words>
  <Characters>30989</Characters>
  <Application>Microsoft Office Word</Application>
  <DocSecurity>0</DocSecurity>
  <Lines>258</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Tomáš Kamenský</cp:lastModifiedBy>
  <cp:revision>30</cp:revision>
  <cp:lastPrinted>2006-02-10T13:19:00Z</cp:lastPrinted>
  <dcterms:created xsi:type="dcterms:W3CDTF">2015-06-03T12:46:00Z</dcterms:created>
  <dcterms:modified xsi:type="dcterms:W3CDTF">2021-06-14T11:09:00Z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