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bookmarkEnd w:id="0"/>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39F79A5E"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2A47704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17ED1A43"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56371D39"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r w:rsidR="00D433A4">
        <w:rPr>
          <w:rFonts w:ascii="Verdana" w:hAnsi="Verdana"/>
          <w:sz w:val="20"/>
          <w:szCs w:val="20"/>
          <w:lang w:val="sk-SK" w:eastAsia="cs-CZ"/>
        </w:rPr>
        <w:t>4</w:t>
      </w:r>
      <w:r>
        <w:rPr>
          <w:rFonts w:ascii="Verdana" w:hAnsi="Verdana"/>
          <w:sz w:val="20"/>
          <w:szCs w:val="20"/>
          <w:lang w:val="sk-SK" w:eastAsia="cs-CZ"/>
        </w:rPr>
        <w:t xml:space="preserve">; platnosť od: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r w:rsidR="00D433A4">
        <w:rPr>
          <w:rFonts w:ascii="Verdana" w:hAnsi="Verdana"/>
          <w:sz w:val="20"/>
          <w:szCs w:val="20"/>
          <w:lang w:val="sk-SK" w:eastAsia="cs-CZ"/>
        </w:rPr>
        <w:t>13</w:t>
      </w:r>
      <w:r w:rsidR="008C3FAB" w:rsidRPr="008C3FAB">
        <w:rPr>
          <w:rFonts w:ascii="Verdana" w:hAnsi="Verdana"/>
          <w:sz w:val="20"/>
          <w:szCs w:val="20"/>
          <w:lang w:val="sk-SK" w:eastAsia="cs-CZ"/>
        </w:rPr>
        <w:t xml:space="preserve">. </w:t>
      </w:r>
      <w:r w:rsidR="00D433A4">
        <w:rPr>
          <w:rFonts w:ascii="Verdana" w:hAnsi="Verdana"/>
          <w:sz w:val="20"/>
          <w:szCs w:val="20"/>
          <w:lang w:val="sk-SK" w:eastAsia="cs-CZ"/>
        </w:rPr>
        <w:t>12</w:t>
      </w:r>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75168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6472E11"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33BF19B1"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5497B22"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7C7A02">
          <w:rPr>
            <w:noProof/>
            <w:webHidden/>
          </w:rPr>
          <w:t>6</w:t>
        </w:r>
        <w:r w:rsidR="00561FA9">
          <w:rPr>
            <w:noProof/>
            <w:webHidden/>
          </w:rPr>
          <w:fldChar w:fldCharType="end"/>
        </w:r>
      </w:hyperlink>
    </w:p>
    <w:p w14:paraId="2F05AD68" w14:textId="77777777" w:rsidR="00561FA9" w:rsidRDefault="0075168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07DA3165"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8A5B586"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6831BA9B"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6D0BFD9" w14:textId="77777777" w:rsidR="00561FA9" w:rsidRDefault="0075168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15CC51F"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7F02EF34"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E9F9FE5" w14:textId="4449E2E6"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3CC5CD5D"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0B6432F8"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7C7A02">
          <w:rPr>
            <w:noProof/>
            <w:webHidden/>
          </w:rPr>
          <w:t>16</w:t>
        </w:r>
        <w:r w:rsidR="00561FA9">
          <w:rPr>
            <w:noProof/>
            <w:webHidden/>
          </w:rPr>
          <w:fldChar w:fldCharType="end"/>
        </w:r>
      </w:hyperlink>
    </w:p>
    <w:p w14:paraId="1E0400D4" w14:textId="787B198A"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AA0895A"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BC20E59"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7C7A02">
          <w:rPr>
            <w:noProof/>
            <w:webHidden/>
          </w:rPr>
          <w:t>18</w:t>
        </w:r>
        <w:r w:rsidR="00561FA9">
          <w:rPr>
            <w:noProof/>
            <w:webHidden/>
          </w:rPr>
          <w:fldChar w:fldCharType="end"/>
        </w:r>
      </w:hyperlink>
    </w:p>
    <w:p w14:paraId="7EAD3F33" w14:textId="77777777" w:rsidR="00561FA9" w:rsidRDefault="0075168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75E83AF"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FEEA9AA"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7C7A02">
          <w:rPr>
            <w:noProof/>
            <w:webHidden/>
          </w:rPr>
          <w:t>21</w:t>
        </w:r>
        <w:r w:rsidR="00561FA9">
          <w:rPr>
            <w:noProof/>
            <w:webHidden/>
          </w:rPr>
          <w:fldChar w:fldCharType="end"/>
        </w:r>
      </w:hyperlink>
    </w:p>
    <w:p w14:paraId="61EFB779" w14:textId="77777777" w:rsidR="00561FA9" w:rsidRDefault="0075168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445E7932" w14:textId="77777777" w:rsidR="00561FA9" w:rsidRDefault="0075168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775C3DA4" w14:textId="77777777" w:rsidR="00561FA9" w:rsidRDefault="0075168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7C7A02">
          <w:rPr>
            <w:noProof/>
            <w:webHidden/>
          </w:rPr>
          <w:t>23</w:t>
        </w:r>
        <w:r w:rsidR="00561FA9">
          <w:rPr>
            <w:noProof/>
            <w:webHidden/>
          </w:rPr>
          <w:fldChar w:fldCharType="end"/>
        </w:r>
      </w:hyperlink>
    </w:p>
    <w:p w14:paraId="28B5AB8C" w14:textId="77777777" w:rsidR="00561FA9" w:rsidRDefault="0075168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7C7A02">
          <w:rPr>
            <w:noProof/>
            <w:webHidden/>
          </w:rPr>
          <w:t>26</w:t>
        </w:r>
        <w:r w:rsidR="00561FA9">
          <w:rPr>
            <w:noProof/>
            <w:webHidden/>
          </w:rPr>
          <w:fldChar w:fldCharType="end"/>
        </w:r>
      </w:hyperlink>
    </w:p>
    <w:p w14:paraId="5C82F426" w14:textId="77777777" w:rsidR="00561FA9" w:rsidRDefault="0075168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7C7A02">
          <w:rPr>
            <w:noProof/>
            <w:webHidden/>
          </w:rPr>
          <w:t>27</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31E724B"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1B4C4B" w14:textId="36AA98F3" w:rsidR="009A3D44" w:rsidRDefault="00341A7D" w:rsidP="00E61290">
      <w:pPr>
        <w:spacing w:before="120" w:after="120" w:line="288" w:lineRule="auto"/>
        <w:jc w:val="both"/>
        <w:rPr>
          <w:rFonts w:cs="Arial"/>
          <w:szCs w:val="19"/>
          <w:lang w:val="sk-SK"/>
        </w:rPr>
      </w:pPr>
      <w:r>
        <w:rPr>
          <w:szCs w:val="19"/>
        </w:rPr>
        <w:t xml:space="preserve">V prípade plnej funkčnosti a dostupnosti relevantnej funkcionality v ITMS 2014+, zabezpečí VO MaH výber odborných hodnotieľov a ich priradenie k ŽoNFP prostredníctvom ITMS. </w:t>
      </w:r>
      <w:r w:rsidR="00430FDE">
        <w:rPr>
          <w:rFonts w:cs="Arial"/>
          <w:szCs w:val="19"/>
          <w:lang w:val="sk-SK"/>
        </w:rPr>
        <w:t>V súlade s MP CKO č. 29</w:t>
      </w:r>
      <w:r w:rsidR="00430FDE" w:rsidRPr="00430FDE">
        <w:t xml:space="preserve"> </w:t>
      </w:r>
      <w:r w:rsidR="00430FDE">
        <w:t xml:space="preserve">RO pre </w:t>
      </w:r>
      <w:r w:rsidR="00430FDE">
        <w:lastRenderedPageBreak/>
        <w:t xml:space="preserve">OP EVS </w:t>
      </w:r>
      <w:r w:rsidR="00430FDE" w:rsidRPr="00430FDE">
        <w:rPr>
          <w:rFonts w:cs="Arial"/>
          <w:szCs w:val="19"/>
          <w:lang w:val="sk-SK"/>
        </w:rPr>
        <w:t>vloží informácie o odborných hodnotiteľoch výzvy do ITMS 2014+ najneskôr do 60 pracovných dní od skončenia rozhodovania o ŽoNFP pre každú výzvu (resp. kolo výzvy) alebo vyzvanie</w:t>
      </w:r>
      <w:r w:rsidR="009A3D44">
        <w:rPr>
          <w:rFonts w:cs="Arial"/>
          <w:szCs w:val="19"/>
          <w:lang w:val="sk-SK"/>
        </w:rPr>
        <w:t xml:space="preserve"> (najmä </w:t>
      </w:r>
      <w:r w:rsidR="009A3D44" w:rsidRPr="00EB6847">
        <w:t>titul, meno a priezvisko každého OH</w:t>
      </w:r>
      <w:r w:rsidR="009A3D44">
        <w:t>, informácie o praxi OH a pod.)</w:t>
      </w:r>
      <w:r w:rsidR="00430FDE" w:rsidRPr="00430FDE">
        <w:rPr>
          <w:rFonts w:cs="Arial"/>
          <w:szCs w:val="19"/>
          <w:lang w:val="sk-SK"/>
        </w:rPr>
        <w:t xml:space="preserve">. </w:t>
      </w:r>
      <w:r w:rsidR="00430FDE">
        <w:rPr>
          <w:rFonts w:cs="Arial"/>
          <w:szCs w:val="19"/>
          <w:lang w:val="sk-SK"/>
        </w:rPr>
        <w:t xml:space="preserve"> </w:t>
      </w:r>
    </w:p>
    <w:p w14:paraId="2A69FABB" w14:textId="744A945D"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167C548C"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w:t>
      </w:r>
      <w:r w:rsidRPr="0017594C">
        <w:rPr>
          <w:szCs w:val="19"/>
          <w:lang w:val="sk-SK"/>
        </w:rPr>
        <w:lastRenderedPageBreak/>
        <w:t>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w:t>
      </w:r>
      <w:r>
        <w:rPr>
          <w:rFonts w:cs="Arial"/>
          <w:szCs w:val="19"/>
          <w:lang w:eastAsia="cs-CZ"/>
        </w:rPr>
        <w:lastRenderedPageBreak/>
        <w:t>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w:t>
      </w:r>
      <w:r w:rsidR="00922B00" w:rsidRPr="00F77E9C">
        <w:rPr>
          <w:color w:val="auto"/>
          <w:sz w:val="19"/>
          <w:lang w:val="sk-SK"/>
        </w:rPr>
        <w:lastRenderedPageBreak/>
        <w:t>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A8667" w14:textId="77777777" w:rsidR="0075168A" w:rsidRDefault="0075168A">
      <w:r>
        <w:separator/>
      </w:r>
    </w:p>
    <w:p w14:paraId="6BA2E44C" w14:textId="77777777" w:rsidR="0075168A" w:rsidRDefault="0075168A"/>
  </w:endnote>
  <w:endnote w:type="continuationSeparator" w:id="0">
    <w:p w14:paraId="71FBC36E" w14:textId="77777777" w:rsidR="0075168A" w:rsidRDefault="0075168A">
      <w:r>
        <w:continuationSeparator/>
      </w:r>
    </w:p>
    <w:p w14:paraId="62853C75" w14:textId="77777777" w:rsidR="0075168A" w:rsidRDefault="0075168A"/>
  </w:endnote>
  <w:endnote w:type="continuationNotice" w:id="1">
    <w:p w14:paraId="77E785FA" w14:textId="77777777" w:rsidR="0075168A" w:rsidRDefault="00751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66990" w:rsidRDefault="00766990">
        <w:pPr>
          <w:pStyle w:val="Pta"/>
          <w:jc w:val="center"/>
        </w:pPr>
        <w:r>
          <w:fldChar w:fldCharType="begin"/>
        </w:r>
        <w:r>
          <w:instrText xml:space="preserve"> PAGE   \* MERGEFORMAT </w:instrText>
        </w:r>
        <w:r>
          <w:fldChar w:fldCharType="separate"/>
        </w:r>
        <w:r w:rsidR="00EA2A31">
          <w:rPr>
            <w:noProof/>
          </w:rPr>
          <w:t>26</w:t>
        </w:r>
        <w:r>
          <w:rPr>
            <w:noProof/>
          </w:rPr>
          <w:fldChar w:fldCharType="end"/>
        </w:r>
      </w:p>
    </w:sdtContent>
  </w:sdt>
  <w:p w14:paraId="01291C48" w14:textId="77777777" w:rsidR="00766990" w:rsidRPr="003530AF" w:rsidRDefault="00766990"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F7337" w14:textId="77777777" w:rsidR="0075168A" w:rsidRDefault="0075168A">
      <w:r>
        <w:separator/>
      </w:r>
    </w:p>
    <w:p w14:paraId="6F43E111" w14:textId="77777777" w:rsidR="0075168A" w:rsidRDefault="0075168A"/>
  </w:footnote>
  <w:footnote w:type="continuationSeparator" w:id="0">
    <w:p w14:paraId="128DF27B" w14:textId="77777777" w:rsidR="0075168A" w:rsidRDefault="0075168A">
      <w:r>
        <w:continuationSeparator/>
      </w:r>
    </w:p>
    <w:p w14:paraId="6A9C0BC8" w14:textId="77777777" w:rsidR="0075168A" w:rsidRDefault="0075168A"/>
  </w:footnote>
  <w:footnote w:type="continuationNotice" w:id="1">
    <w:p w14:paraId="778B4C9C" w14:textId="77777777" w:rsidR="0075168A" w:rsidRDefault="0075168A"/>
  </w:footnote>
  <w:footnote w:id="2">
    <w:p w14:paraId="3AC44A50" w14:textId="1E949B95" w:rsidR="00766990" w:rsidRPr="004261E6" w:rsidRDefault="00766990">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 xml:space="preserve">odborného hodnotenia </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01291C49" w14:textId="77777777" w:rsidR="00766990" w:rsidRDefault="00766990"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766990" w:rsidRPr="00396022" w:rsidRDefault="00766990"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766990" w:rsidRPr="00396022" w:rsidRDefault="00766990"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66990" w:rsidRPr="00396022" w:rsidRDefault="00766990" w:rsidP="00933101">
      <w:pPr>
        <w:pStyle w:val="Textpoznmkypodiarou"/>
        <w:rPr>
          <w:lang w:val="sk-SK"/>
        </w:rPr>
      </w:pPr>
    </w:p>
  </w:footnote>
  <w:footnote w:id="6">
    <w:p w14:paraId="3CAEA9D5" w14:textId="38651606" w:rsidR="00766990" w:rsidRDefault="00766990"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66990" w:rsidRPr="00051EF8" w:rsidRDefault="00766990">
      <w:pPr>
        <w:pStyle w:val="Textpoznmkypodiarou"/>
        <w:rPr>
          <w:lang w:val="sk-SK"/>
        </w:rPr>
      </w:pPr>
      <w:r>
        <w:rPr>
          <w:lang w:val="sk-SK"/>
        </w:rPr>
        <w:t xml:space="preserve"> </w:t>
      </w:r>
    </w:p>
  </w:footnote>
  <w:footnote w:id="7">
    <w:p w14:paraId="01291C4E" w14:textId="77777777" w:rsidR="00766990" w:rsidRPr="00F66DEE" w:rsidRDefault="00766990"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66990" w:rsidRPr="0094663B" w:rsidRDefault="00766990"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168A"/>
    <w:rsid w:val="00752000"/>
    <w:rsid w:val="0075210C"/>
    <w:rsid w:val="00755063"/>
    <w:rsid w:val="0075585E"/>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54B1EA8E-9CBE-4E54-BD78-233B82FB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2430DCAD-C738-4471-8A18-59CE3B6BC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26</Pages>
  <Words>10590</Words>
  <Characters>60363</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Miruška Hrabčáková</cp:lastModifiedBy>
  <cp:revision>21</cp:revision>
  <dcterms:created xsi:type="dcterms:W3CDTF">2018-03-19T12:05:00Z</dcterms:created>
  <dcterms:modified xsi:type="dcterms:W3CDTF">2018-12-13T09:28:00Z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