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55C038EF" w:rsidR="003E4CCB" w:rsidRPr="00347388" w:rsidRDefault="003E4CCB" w:rsidP="003E4CCB">
      <w:pPr>
        <w:spacing w:line="360" w:lineRule="auto"/>
        <w:rPr>
          <w:rFonts w:cs="Arial"/>
          <w:sz w:val="20"/>
          <w:lang w:eastAsia="cs-CZ"/>
        </w:rPr>
      </w:pPr>
      <w:r w:rsidRPr="00347388">
        <w:rPr>
          <w:rFonts w:cs="Arial"/>
          <w:sz w:val="20"/>
          <w:lang w:eastAsia="cs-CZ"/>
        </w:rPr>
        <w:t>Dátum:</w:t>
      </w:r>
      <w:r w:rsidR="00577A62">
        <w:rPr>
          <w:rFonts w:cs="Arial"/>
          <w:sz w:val="20"/>
          <w:lang w:eastAsia="cs-CZ"/>
        </w:rPr>
        <w:t>28</w:t>
      </w:r>
      <w:r w:rsidRPr="00E25071">
        <w:rPr>
          <w:rFonts w:cs="Arial"/>
          <w:sz w:val="20"/>
          <w:lang w:eastAsia="cs-CZ"/>
        </w:rPr>
        <w:t xml:space="preserve">. </w:t>
      </w:r>
      <w:r w:rsidR="00577A62">
        <w:rPr>
          <w:rFonts w:cs="Arial"/>
          <w:sz w:val="20"/>
          <w:lang w:eastAsia="cs-CZ"/>
        </w:rPr>
        <w:t>11</w:t>
      </w:r>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04FCA373" w:rsidR="003E4CCB" w:rsidRDefault="003E4CCB" w:rsidP="003E4CCB">
      <w:pPr>
        <w:spacing w:line="360" w:lineRule="auto"/>
        <w:rPr>
          <w:rFonts w:cs="Arial"/>
          <w:sz w:val="20"/>
          <w:lang w:eastAsia="cs-CZ"/>
        </w:rPr>
      </w:pPr>
      <w:r w:rsidRPr="00347388">
        <w:rPr>
          <w:rFonts w:cs="Arial"/>
          <w:sz w:val="20"/>
          <w:lang w:eastAsia="cs-CZ"/>
        </w:rPr>
        <w:t xml:space="preserve">Dátum: </w:t>
      </w:r>
      <w:r w:rsidR="00577A62">
        <w:rPr>
          <w:rFonts w:cs="Arial"/>
          <w:sz w:val="20"/>
          <w:lang w:eastAsia="cs-CZ"/>
        </w:rPr>
        <w:t>28</w:t>
      </w:r>
      <w:r w:rsidRPr="00E25071">
        <w:rPr>
          <w:rFonts w:cs="Arial"/>
          <w:sz w:val="20"/>
          <w:lang w:eastAsia="cs-CZ"/>
        </w:rPr>
        <w:t>. </w:t>
      </w:r>
      <w:r w:rsidR="00577A62">
        <w:rPr>
          <w:rFonts w:cs="Arial"/>
          <w:sz w:val="20"/>
          <w:lang w:eastAsia="cs-CZ"/>
        </w:rPr>
        <w:t>11</w:t>
      </w:r>
      <w:r w:rsidRPr="00E25071">
        <w:rPr>
          <w:rFonts w:cs="Arial"/>
          <w:sz w:val="20"/>
          <w:lang w:eastAsia="cs-CZ"/>
        </w:rPr>
        <w:t>. 201</w:t>
      </w:r>
      <w:r w:rsidR="00E25071" w:rsidRPr="00E25071">
        <w:rPr>
          <w:rFonts w:cs="Arial"/>
          <w:sz w:val="20"/>
          <w:lang w:eastAsia="cs-CZ"/>
        </w:rPr>
        <w:t>7</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53177E5F" w:rsidR="003E4CCB" w:rsidRPr="00347388" w:rsidRDefault="006B41BD" w:rsidP="00140CE3">
      <w:pPr>
        <w:tabs>
          <w:tab w:val="left" w:pos="1134"/>
        </w:tabs>
        <w:spacing w:line="360" w:lineRule="auto"/>
        <w:rPr>
          <w:rFonts w:cs="Arial"/>
          <w:sz w:val="20"/>
          <w:lang w:eastAsia="cs-CZ"/>
        </w:rPr>
      </w:pPr>
      <w:r w:rsidRPr="008F2822">
        <w:t xml:space="preserve">Dátum: </w:t>
      </w:r>
      <w:r w:rsidR="00577A62">
        <w:t>28</w:t>
      </w:r>
      <w:r w:rsidRPr="00140CE3">
        <w:t>. </w:t>
      </w:r>
      <w:r w:rsidR="00577A62">
        <w:t>11</w:t>
      </w:r>
      <w:r>
        <w:t>. 2017</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56A8FAA1"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577A62">
        <w:rPr>
          <w:rFonts w:cs="Arial"/>
          <w:sz w:val="20"/>
          <w:lang w:eastAsia="cs-CZ"/>
        </w:rPr>
        <w:t>28</w:t>
      </w:r>
      <w:r w:rsidRPr="00E25071">
        <w:rPr>
          <w:rFonts w:cs="Arial"/>
          <w:sz w:val="20"/>
          <w:lang w:eastAsia="cs-CZ"/>
        </w:rPr>
        <w:t>. </w:t>
      </w:r>
      <w:r w:rsidR="00577A62">
        <w:rPr>
          <w:rFonts w:cs="Arial"/>
          <w:sz w:val="20"/>
          <w:lang w:eastAsia="cs-CZ"/>
        </w:rPr>
        <w:t>11</w:t>
      </w:r>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703963E"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r w:rsidR="00577A62">
        <w:rPr>
          <w:rFonts w:cs="Arial"/>
          <w:sz w:val="18"/>
          <w:lang w:eastAsia="cs-CZ"/>
        </w:rPr>
        <w:t>4</w:t>
      </w:r>
      <w:r w:rsidRPr="00E25071">
        <w:rPr>
          <w:rFonts w:cs="Arial"/>
          <w:sz w:val="18"/>
          <w:lang w:eastAsia="cs-CZ"/>
        </w:rPr>
        <w:t xml:space="preserve">; platnosť od: </w:t>
      </w:r>
      <w:r w:rsidR="00577A62">
        <w:rPr>
          <w:rFonts w:cs="Arial"/>
          <w:sz w:val="18"/>
          <w:lang w:eastAsia="cs-CZ"/>
        </w:rPr>
        <w:t>28</w:t>
      </w:r>
      <w:r w:rsidRPr="00E25071">
        <w:rPr>
          <w:rFonts w:cs="Arial"/>
          <w:sz w:val="18"/>
          <w:lang w:eastAsia="cs-CZ"/>
        </w:rPr>
        <w:t xml:space="preserve">. </w:t>
      </w:r>
      <w:r w:rsidR="00CA697B">
        <w:rPr>
          <w:rFonts w:cs="Arial"/>
          <w:sz w:val="18"/>
          <w:lang w:eastAsia="cs-CZ"/>
        </w:rPr>
        <w:t>1</w:t>
      </w:r>
      <w:r w:rsidR="00577A62">
        <w:rPr>
          <w:rFonts w:cs="Arial"/>
          <w:sz w:val="18"/>
          <w:lang w:eastAsia="cs-CZ"/>
        </w:rPr>
        <w:t>1</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577A62">
        <w:rPr>
          <w:rFonts w:cs="Arial"/>
          <w:sz w:val="18"/>
          <w:lang w:eastAsia="cs-CZ"/>
        </w:rPr>
        <w:t>28</w:t>
      </w:r>
      <w:r w:rsidRPr="00E25071">
        <w:rPr>
          <w:rFonts w:cs="Arial"/>
          <w:sz w:val="18"/>
          <w:lang w:eastAsia="cs-CZ"/>
        </w:rPr>
        <w:t xml:space="preserve">. </w:t>
      </w:r>
      <w:r w:rsidR="00CA697B">
        <w:rPr>
          <w:rFonts w:cs="Arial"/>
          <w:sz w:val="18"/>
          <w:lang w:eastAsia="cs-CZ"/>
        </w:rPr>
        <w:t>1</w:t>
      </w:r>
      <w:r w:rsidR="00577A62">
        <w:rPr>
          <w:rFonts w:cs="Arial"/>
          <w:sz w:val="18"/>
          <w:lang w:eastAsia="cs-CZ"/>
        </w:rPr>
        <w:t>1</w:t>
      </w:r>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186BF1">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186BF1">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186BF1">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186BF1">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186BF1">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186BF1">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186BF1">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186BF1">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186BF1">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186BF1">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186BF1">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186BF1">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57</w:t>
        </w:r>
        <w:r w:rsidR="00BF74B6" w:rsidRPr="00E135DC">
          <w:rPr>
            <w:rFonts w:cs="Arial"/>
            <w:noProof/>
            <w:webHidden/>
            <w:sz w:val="19"/>
            <w:szCs w:val="19"/>
          </w:rPr>
          <w:fldChar w:fldCharType="end"/>
        </w:r>
      </w:hyperlink>
    </w:p>
    <w:p w14:paraId="7F58E385" w14:textId="3DC97EA2" w:rsidR="00BF74B6" w:rsidRPr="00E135DC" w:rsidRDefault="00186BF1">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64</w:t>
        </w:r>
        <w:r w:rsidR="00BF74B6" w:rsidRPr="00E135DC">
          <w:rPr>
            <w:rFonts w:cs="Arial"/>
            <w:noProof/>
            <w:webHidden/>
            <w:sz w:val="19"/>
            <w:szCs w:val="19"/>
          </w:rPr>
          <w:fldChar w:fldCharType="end"/>
        </w:r>
      </w:hyperlink>
    </w:p>
    <w:p w14:paraId="101D5D81" w14:textId="760BDC6C" w:rsidR="00BF74B6" w:rsidRPr="00E135DC" w:rsidRDefault="00186BF1">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79</w:t>
        </w:r>
        <w:r w:rsidR="00BF74B6" w:rsidRPr="00E135DC">
          <w:rPr>
            <w:rFonts w:cs="Arial"/>
            <w:noProof/>
            <w:webHidden/>
            <w:sz w:val="19"/>
            <w:szCs w:val="19"/>
          </w:rPr>
          <w:fldChar w:fldCharType="end"/>
        </w:r>
      </w:hyperlink>
    </w:p>
    <w:p w14:paraId="5198DED3" w14:textId="401417B1"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84</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752"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25C99981" w14:textId="1CB1F927" w:rsidR="00BF74B6" w:rsidRPr="00E135DC" w:rsidRDefault="00186BF1">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85</w:t>
        </w:r>
        <w:r w:rsidR="00BF74B6" w:rsidRPr="00E135DC">
          <w:rPr>
            <w:rFonts w:cs="Arial"/>
            <w:noProof/>
            <w:webHidden/>
            <w:sz w:val="19"/>
            <w:szCs w:val="19"/>
          </w:rPr>
          <w:fldChar w:fldCharType="end"/>
        </w:r>
      </w:hyperlink>
    </w:p>
    <w:p w14:paraId="4212AEDF" w14:textId="72B0048A" w:rsidR="00BF74B6" w:rsidRPr="00E135DC" w:rsidRDefault="00186BF1">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87</w:t>
        </w:r>
        <w:r w:rsidR="00BF74B6" w:rsidRPr="00E135DC">
          <w:rPr>
            <w:rFonts w:cs="Arial"/>
            <w:noProof/>
            <w:webHidden/>
            <w:sz w:val="19"/>
            <w:szCs w:val="19"/>
          </w:rPr>
          <w:fldChar w:fldCharType="end"/>
        </w:r>
      </w:hyperlink>
    </w:p>
    <w:p w14:paraId="61CB8603" w14:textId="65AB04E3" w:rsidR="00BF74B6" w:rsidRPr="00E135DC" w:rsidRDefault="00186BF1">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186BF1">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88</w:t>
        </w:r>
        <w:r w:rsidR="00BF74B6" w:rsidRPr="00E135DC">
          <w:rPr>
            <w:rFonts w:cs="Arial"/>
            <w:noProof/>
            <w:webHidden/>
            <w:sz w:val="19"/>
            <w:szCs w:val="19"/>
          </w:rPr>
          <w:fldChar w:fldCharType="end"/>
        </w:r>
      </w:hyperlink>
    </w:p>
    <w:p w14:paraId="71EC95BE" w14:textId="03A3311D" w:rsidR="00BF74B6" w:rsidRPr="00E135DC" w:rsidRDefault="00186BF1">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93</w:t>
        </w:r>
        <w:r w:rsidR="00BF74B6" w:rsidRPr="00E135DC">
          <w:rPr>
            <w:rFonts w:cs="Arial"/>
            <w:noProof/>
            <w:webHidden/>
            <w:sz w:val="19"/>
            <w:szCs w:val="19"/>
          </w:rPr>
          <w:fldChar w:fldCharType="end"/>
        </w:r>
      </w:hyperlink>
    </w:p>
    <w:p w14:paraId="1C39A013" w14:textId="269FCB87" w:rsidR="00BF74B6" w:rsidRPr="00E135DC" w:rsidRDefault="00186BF1">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110</w:t>
        </w:r>
        <w:r w:rsidR="00BF74B6" w:rsidRPr="00E135DC">
          <w:rPr>
            <w:rFonts w:cs="Arial"/>
            <w:noProof/>
            <w:webHidden/>
            <w:sz w:val="19"/>
            <w:szCs w:val="19"/>
          </w:rPr>
          <w:fldChar w:fldCharType="end"/>
        </w:r>
      </w:hyperlink>
    </w:p>
    <w:p w14:paraId="69BEAABA" w14:textId="5B4FB10A" w:rsidR="00BF74B6" w:rsidRPr="00E135DC" w:rsidRDefault="00186BF1">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114</w:t>
        </w:r>
        <w:r w:rsidR="00BF74B6" w:rsidRPr="00E135DC">
          <w:rPr>
            <w:rFonts w:cs="Arial"/>
            <w:noProof/>
            <w:webHidden/>
            <w:sz w:val="19"/>
            <w:szCs w:val="19"/>
          </w:rPr>
          <w:fldChar w:fldCharType="end"/>
        </w:r>
      </w:hyperlink>
    </w:p>
    <w:p w14:paraId="52A899C1" w14:textId="1B47B2EA" w:rsidR="00BF74B6" w:rsidRPr="00E135DC" w:rsidRDefault="00186BF1">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121</w:t>
        </w:r>
        <w:r w:rsidR="00BF74B6" w:rsidRPr="00E135DC">
          <w:rPr>
            <w:rFonts w:cs="Arial"/>
            <w:noProof/>
            <w:webHidden/>
            <w:sz w:val="19"/>
            <w:szCs w:val="19"/>
          </w:rPr>
          <w:fldChar w:fldCharType="end"/>
        </w:r>
      </w:hyperlink>
    </w:p>
    <w:p w14:paraId="291F6871" w14:textId="28A76C2A" w:rsidR="00BF74B6" w:rsidRPr="00E135DC" w:rsidRDefault="00186BF1">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126</w:t>
        </w:r>
        <w:r w:rsidR="00BF74B6" w:rsidRPr="00E135DC">
          <w:rPr>
            <w:rFonts w:cs="Arial"/>
            <w:noProof/>
            <w:webHidden/>
            <w:sz w:val="19"/>
            <w:szCs w:val="19"/>
          </w:rPr>
          <w:fldChar w:fldCharType="end"/>
        </w:r>
      </w:hyperlink>
    </w:p>
    <w:p w14:paraId="34F67D09" w14:textId="39ED40BA"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132</w:t>
        </w:r>
        <w:r w:rsidR="00BF74B6" w:rsidRPr="00E135DC">
          <w:rPr>
            <w:rFonts w:cs="Arial"/>
            <w:noProof/>
            <w:webHidden/>
            <w:sz w:val="19"/>
            <w:szCs w:val="19"/>
          </w:rPr>
          <w:fldChar w:fldCharType="end"/>
        </w:r>
      </w:hyperlink>
    </w:p>
    <w:p w14:paraId="6F278EC5" w14:textId="5DD9059F"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133</w:t>
        </w:r>
        <w:r w:rsidR="00BF74B6" w:rsidRPr="00E135DC">
          <w:rPr>
            <w:rFonts w:cs="Arial"/>
            <w:noProof/>
            <w:webHidden/>
            <w:sz w:val="19"/>
            <w:szCs w:val="19"/>
          </w:rPr>
          <w:fldChar w:fldCharType="end"/>
        </w:r>
      </w:hyperlink>
    </w:p>
    <w:p w14:paraId="5B9D06DD" w14:textId="69B98DBC" w:rsidR="00BF74B6" w:rsidRPr="00E135DC" w:rsidRDefault="00186BF1">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321D2A52" w14:textId="0E7F517F"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135</w:t>
        </w:r>
        <w:r w:rsidR="00BF74B6" w:rsidRPr="00E135DC">
          <w:rPr>
            <w:rFonts w:cs="Arial"/>
            <w:noProof/>
            <w:webHidden/>
            <w:sz w:val="19"/>
            <w:szCs w:val="19"/>
          </w:rPr>
          <w:fldChar w:fldCharType="end"/>
        </w:r>
      </w:hyperlink>
    </w:p>
    <w:p w14:paraId="23ED640E" w14:textId="456633B4" w:rsidR="00BF74B6" w:rsidRPr="00E135DC" w:rsidRDefault="00186BF1">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138</w:t>
        </w:r>
        <w:r w:rsidR="00BF74B6" w:rsidRPr="00E135DC">
          <w:rPr>
            <w:rFonts w:cs="Arial"/>
            <w:noProof/>
            <w:webHidden/>
            <w:sz w:val="19"/>
            <w:szCs w:val="19"/>
          </w:rPr>
          <w:fldChar w:fldCharType="end"/>
        </w:r>
      </w:hyperlink>
    </w:p>
    <w:p w14:paraId="652445E0" w14:textId="7CDA4D90" w:rsidR="00BF74B6" w:rsidRPr="00E135DC" w:rsidRDefault="00186BF1">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145</w:t>
        </w:r>
        <w:r w:rsidR="00BF74B6" w:rsidRPr="00E135DC">
          <w:rPr>
            <w:rFonts w:cs="Arial"/>
            <w:noProof/>
            <w:webHidden/>
            <w:sz w:val="19"/>
            <w:szCs w:val="19"/>
          </w:rPr>
          <w:fldChar w:fldCharType="end"/>
        </w:r>
      </w:hyperlink>
    </w:p>
    <w:p w14:paraId="3B998595" w14:textId="5DDE90F6" w:rsidR="00BF74B6" w:rsidRPr="00E135DC" w:rsidRDefault="00186BF1">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8F3E68">
          <w:rPr>
            <w:rFonts w:cs="Arial"/>
            <w:noProof/>
            <w:webHidden/>
            <w:sz w:val="19"/>
            <w:szCs w:val="19"/>
          </w:rPr>
          <w:t>146</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53BBB406"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r w:rsidR="002E1D0D" w:rsidRPr="0073389C">
        <w:rPr>
          <w:szCs w:val="19"/>
          <w:lang w:val="sk-SK"/>
        </w:rPr>
        <w:lastRenderedPageBreak/>
        <w:t>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w:t>
      </w:r>
      <w:r w:rsidRPr="0073389C">
        <w:rPr>
          <w:rFonts w:cs="Arial"/>
          <w:szCs w:val="19"/>
          <w:lang w:val="sk-SK"/>
        </w:rPr>
        <w:lastRenderedPageBreak/>
        <w:t>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w:t>
      </w:r>
      <w:r w:rsidR="00C6030F" w:rsidRPr="0073389C">
        <w:rPr>
          <w:szCs w:val="19"/>
          <w:lang w:val="sk-SK"/>
        </w:rPr>
        <w:lastRenderedPageBreak/>
        <w:t xml:space="preserve">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3012360"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10,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3D6340A7" w14:textId="58B65F69" w:rsidR="00B67CE8"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 uvádzaných v</w:t>
      </w:r>
      <w:r w:rsidR="00700586">
        <w:rPr>
          <w:rFonts w:ascii="Arial" w:hAnsi="Arial" w:cs="Arial"/>
          <w:sz w:val="19"/>
          <w:szCs w:val="19"/>
          <w:lang w:val="sk-SK"/>
        </w:rPr>
        <w:t>o vzore</w:t>
      </w:r>
      <w:r w:rsidR="00B67CE8" w:rsidRPr="00C23F4C">
        <w:rPr>
          <w:rFonts w:ascii="Arial" w:hAnsi="Arial" w:cs="Arial"/>
          <w:sz w:val="19"/>
          <w:szCs w:val="19"/>
          <w:lang w:val="sk-SK"/>
        </w:rPr>
        <w:t> monitorovacej správe v časti 10a</w:t>
      </w:r>
      <w:r w:rsidR="0083263F">
        <w:rPr>
          <w:rFonts w:ascii="Arial" w:hAnsi="Arial" w:cs="Arial"/>
          <w:sz w:val="19"/>
          <w:szCs w:val="19"/>
          <w:lang w:val="sk-SK"/>
        </w:rPr>
        <w:t xml:space="preserve"> (v ITMS</w:t>
      </w:r>
      <w:r w:rsidR="00DF2897">
        <w:rPr>
          <w:rFonts w:ascii="Arial" w:hAnsi="Arial" w:cs="Arial"/>
          <w:sz w:val="19"/>
          <w:szCs w:val="19"/>
          <w:lang w:val="sk-SK"/>
        </w:rPr>
        <w:t>2014+</w:t>
      </w:r>
      <w:r w:rsidR="0083263F">
        <w:rPr>
          <w:rFonts w:ascii="Arial" w:hAnsi="Arial" w:cs="Arial"/>
          <w:sz w:val="19"/>
          <w:szCs w:val="19"/>
          <w:lang w:val="sk-SK"/>
        </w:rPr>
        <w:t xml:space="preserve"> 9a Iné údaje o cieľovej skupine)</w:t>
      </w:r>
      <w:r w:rsidR="00B67CE8" w:rsidRPr="00C23F4C">
        <w:rPr>
          <w:rFonts w:ascii="Arial" w:hAnsi="Arial" w:cs="Arial"/>
          <w:sz w:val="19"/>
          <w:szCs w:val="19"/>
          <w:lang w:val="sk-SK"/>
        </w:rPr>
        <w:t>.</w:t>
      </w:r>
    </w:p>
    <w:p w14:paraId="0ABF432C" w14:textId="77777777" w:rsidR="00700586" w:rsidRPr="00C23F4C" w:rsidRDefault="00700586" w:rsidP="00B67CE8">
      <w:pPr>
        <w:pStyle w:val="Default"/>
        <w:jc w:val="both"/>
        <w:rPr>
          <w:rFonts w:ascii="Arial" w:hAnsi="Arial" w:cs="Arial"/>
          <w:sz w:val="19"/>
          <w:szCs w:val="19"/>
          <w:lang w:val="sk-SK"/>
        </w:rPr>
      </w:pPr>
    </w:p>
    <w:p w14:paraId="523896EA" w14:textId="2D4A5354"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Prijímateľ sumarizuje dáta o</w:t>
      </w:r>
      <w:r w:rsidR="002A227E">
        <w:rPr>
          <w:rFonts w:ascii="Arial" w:hAnsi="Arial" w:cs="Arial"/>
          <w:sz w:val="19"/>
          <w:szCs w:val="19"/>
          <w:lang w:val="sk-SK"/>
        </w:rPr>
        <w:t> </w:t>
      </w:r>
      <w:r w:rsidRPr="00C23F4C">
        <w:rPr>
          <w:rFonts w:ascii="Arial" w:hAnsi="Arial" w:cs="Arial"/>
          <w:sz w:val="19"/>
          <w:szCs w:val="19"/>
          <w:lang w:val="sk-SK"/>
        </w:rPr>
        <w:t>účastníkoch</w:t>
      </w:r>
      <w:r w:rsidR="002A227E">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Pr="00C23F4C">
        <w:rPr>
          <w:rFonts w:ascii="Arial" w:hAnsi="Arial" w:cs="Arial"/>
          <w:sz w:val="19"/>
          <w:szCs w:val="19"/>
          <w:lang w:val="sk-SK"/>
        </w:rPr>
        <w:t xml:space="preserve"> v tzv. </w:t>
      </w:r>
      <w:r w:rsidR="005122B5">
        <w:rPr>
          <w:rFonts w:ascii="Arial" w:hAnsi="Arial" w:cs="Arial"/>
          <w:sz w:val="19"/>
          <w:szCs w:val="19"/>
          <w:lang w:val="sk-SK"/>
        </w:rPr>
        <w:t>k</w:t>
      </w:r>
      <w:r w:rsidRPr="00C23F4C">
        <w:rPr>
          <w:rFonts w:ascii="Arial" w:hAnsi="Arial" w:cs="Arial"/>
          <w:sz w:val="19"/>
          <w:szCs w:val="19"/>
          <w:lang w:val="sk-SK"/>
        </w:rPr>
        <w:t>arte účastníka.</w:t>
      </w:r>
      <w:r w:rsidR="00065B6C">
        <w:rPr>
          <w:rFonts w:ascii="Arial" w:hAnsi="Arial" w:cs="Arial"/>
          <w:sz w:val="19"/>
          <w:szCs w:val="19"/>
          <w:lang w:val="sk-SK"/>
        </w:rPr>
        <w:t xml:space="preserve"> </w:t>
      </w:r>
      <w:r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Pr="00C23F4C">
        <w:rPr>
          <w:rFonts w:ascii="Arial" w:hAnsi="Arial" w:cs="Arial"/>
          <w:sz w:val="19"/>
          <w:szCs w:val="19"/>
          <w:lang w:val="sk-SK"/>
        </w:rPr>
        <w:t xml:space="preserve"> </w:t>
      </w:r>
      <w:r w:rsidR="00750258">
        <w:rPr>
          <w:rFonts w:ascii="Arial" w:hAnsi="Arial" w:cs="Arial"/>
          <w:sz w:val="19"/>
          <w:szCs w:val="19"/>
          <w:lang w:val="sk-SK"/>
        </w:rPr>
        <w:t xml:space="preserve">od </w:t>
      </w:r>
      <w:r w:rsidRPr="00C23F4C">
        <w:rPr>
          <w:rFonts w:ascii="Arial" w:hAnsi="Arial" w:cs="Arial"/>
          <w:sz w:val="19"/>
          <w:szCs w:val="19"/>
          <w:lang w:val="sk-SK"/>
        </w:rPr>
        <w:t xml:space="preserve"> každé</w:t>
      </w:r>
      <w:r w:rsidR="00750258">
        <w:rPr>
          <w:rFonts w:ascii="Arial" w:hAnsi="Arial" w:cs="Arial"/>
          <w:sz w:val="19"/>
          <w:szCs w:val="19"/>
          <w:lang w:val="sk-SK"/>
        </w:rPr>
        <w:t>ho</w:t>
      </w:r>
      <w:r w:rsidRPr="00C23F4C">
        <w:rPr>
          <w:rFonts w:ascii="Arial" w:hAnsi="Arial" w:cs="Arial"/>
          <w:sz w:val="19"/>
          <w:szCs w:val="19"/>
          <w:lang w:val="sk-SK"/>
        </w:rPr>
        <w:t xml:space="preserve"> účastník</w:t>
      </w:r>
      <w:r w:rsidR="00750258">
        <w:rPr>
          <w:rFonts w:ascii="Arial" w:hAnsi="Arial" w:cs="Arial"/>
          <w:sz w:val="19"/>
          <w:szCs w:val="19"/>
          <w:lang w:val="sk-SK"/>
        </w:rPr>
        <w:t>a</w:t>
      </w:r>
      <w:r w:rsidRPr="00C23F4C">
        <w:rPr>
          <w:rFonts w:ascii="Arial" w:hAnsi="Arial" w:cs="Arial"/>
          <w:sz w:val="19"/>
          <w:szCs w:val="19"/>
          <w:lang w:val="sk-SK"/>
        </w:rPr>
        <w:t xml:space="preserve"> „Súhlas dotknutej osoby - </w:t>
      </w:r>
      <w:r>
        <w:rPr>
          <w:rFonts w:ascii="Arial" w:hAnsi="Arial" w:cs="Arial"/>
          <w:sz w:val="19"/>
          <w:szCs w:val="19"/>
          <w:lang w:val="sk-SK"/>
        </w:rPr>
        <w:t>účastníka</w:t>
      </w:r>
      <w:r w:rsidRPr="00C23F4C">
        <w:rPr>
          <w:rFonts w:ascii="Arial" w:hAnsi="Arial" w:cs="Arial"/>
          <w:sz w:val="19"/>
          <w:szCs w:val="19"/>
          <w:lang w:val="sk-SK"/>
        </w:rPr>
        <w:t xml:space="preserve"> - so správou, spracovaním a uchovaním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2</w:t>
      </w:r>
      <w:r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 xml:space="preserve">na požadované financovanie. Uvedeným prijímateľ zabezpečí, že pri posudzovaní oprávnenosti výdavkov a ich preplácaní budú z jeho strany poskytnuté relevantné informácie z hľadiska toho, čo bolo za </w:t>
      </w:r>
      <w:r w:rsidRPr="0027405B">
        <w:rPr>
          <w:rFonts w:ascii="Arial" w:hAnsi="Arial" w:cs="Arial"/>
          <w:sz w:val="19"/>
          <w:szCs w:val="19"/>
          <w:lang w:val="sk-SK"/>
        </w:rPr>
        <w:lastRenderedPageBreak/>
        <w:t>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w:t>
      </w:r>
      <w:r w:rsidR="00782E16" w:rsidRPr="0073389C">
        <w:lastRenderedPageBreak/>
        <w:t xml:space="preserve">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lastRenderedPageBreak/>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32" w:name="_Toc440372864"/>
      <w:bookmarkStart w:id="33"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2"/>
      <w:bookmarkEnd w:id="33"/>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4" w:name="_Toc440372865"/>
      <w:bookmarkStart w:id="35" w:name="_Toc440636376"/>
      <w:r w:rsidRPr="0073389C">
        <w:rPr>
          <w:lang w:val="sk-SK"/>
        </w:rPr>
        <w:t>Charakter zmien a spôsob posudzovania zmien</w:t>
      </w:r>
      <w:bookmarkEnd w:id="34"/>
      <w:bookmarkEnd w:id="35"/>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lastRenderedPageBreak/>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6" w:name="_Toc410907854"/>
      <w:bookmarkStart w:id="37" w:name="_Toc440372866"/>
      <w:bookmarkStart w:id="38" w:name="_Toc440636377"/>
      <w:r w:rsidRPr="0073389C">
        <w:rPr>
          <w:lang w:val="sk-SK"/>
        </w:rPr>
        <w:t>Administrácia zmenového konania</w:t>
      </w:r>
      <w:bookmarkEnd w:id="36"/>
      <w:bookmarkEnd w:id="37"/>
      <w:bookmarkEnd w:id="38"/>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lastRenderedPageBreak/>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lastRenderedPageBreak/>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39" w:name="_Toc410031665"/>
      <w:bookmarkStart w:id="40"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1" w:name="_Toc440372867"/>
      <w:bookmarkStart w:id="42" w:name="_Toc440636378"/>
      <w:r w:rsidRPr="0073389C">
        <w:rPr>
          <w:lang w:val="sk-SK"/>
        </w:rPr>
        <w:t>Ukončenie zmluvného vzťahu</w:t>
      </w:r>
      <w:bookmarkEnd w:id="39"/>
      <w:bookmarkEnd w:id="40"/>
      <w:bookmarkEnd w:id="41"/>
      <w:bookmarkEnd w:id="42"/>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lastRenderedPageBreak/>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3" w:name="_Toc410907856"/>
      <w:bookmarkStart w:id="44" w:name="_Toc440372868"/>
      <w:bookmarkStart w:id="45" w:name="_Toc440636379"/>
      <w:r w:rsidRPr="0073389C">
        <w:rPr>
          <w:lang w:val="sk-SK"/>
        </w:rPr>
        <w:t>Finančné riadenie</w:t>
      </w:r>
      <w:bookmarkEnd w:id="43"/>
      <w:bookmarkEnd w:id="44"/>
      <w:bookmarkEnd w:id="45"/>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6" w:name="_Toc410907857"/>
      <w:bookmarkStart w:id="47" w:name="_Toc440372869"/>
      <w:bookmarkStart w:id="48" w:name="_Toc440636380"/>
      <w:r w:rsidRPr="0073389C">
        <w:rPr>
          <w:lang w:val="sk-SK"/>
        </w:rPr>
        <w:t>Vedenie účtovníct</w:t>
      </w:r>
      <w:r w:rsidR="004A616F" w:rsidRPr="0073389C">
        <w:rPr>
          <w:lang w:val="sk-SK"/>
        </w:rPr>
        <w:t>va</w:t>
      </w:r>
      <w:bookmarkEnd w:id="46"/>
      <w:bookmarkEnd w:id="47"/>
      <w:bookmarkEnd w:id="48"/>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5F75F4D8"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w:t>
      </w:r>
      <w:r w:rsidR="00A31FFB">
        <w:rPr>
          <w:rFonts w:ascii="Arial" w:hAnsi="Arial" w:cs="Arial"/>
          <w:sz w:val="19"/>
          <w:szCs w:val="19"/>
          <w:lang w:val="sk-SK" w:eastAsia="en-AU"/>
        </w:rPr>
        <w:t>v prípade prijatia prostriedkov</w:t>
      </w:r>
      <w:r w:rsidRPr="0073389C">
        <w:rPr>
          <w:rFonts w:ascii="Arial" w:hAnsi="Arial" w:cs="Arial"/>
          <w:sz w:val="19"/>
          <w:szCs w:val="19"/>
          <w:lang w:val="sk-SK" w:eastAsia="en-AU"/>
        </w:rPr>
        <w:t>).</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49" w:name="_Toc440372870"/>
      <w:bookmarkStart w:id="50" w:name="_Toc440636381"/>
      <w:bookmarkStart w:id="5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49"/>
      <w:bookmarkEnd w:id="50"/>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3"/>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lastRenderedPageBreak/>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2" w:name="_Toc440372871"/>
      <w:bookmarkStart w:id="53" w:name="_Toc440636382"/>
      <w:r w:rsidRPr="00E135DC">
        <w:rPr>
          <w:b/>
        </w:rPr>
        <w:t>Platby vo vzťahu prijímateľ – dodávateľ/zhotoviteľ</w:t>
      </w:r>
      <w:bookmarkEnd w:id="52"/>
      <w:bookmarkEnd w:id="5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4" w:name="_Toc440372872"/>
      <w:bookmarkStart w:id="55" w:name="_Toc440636383"/>
      <w:r w:rsidRPr="0073389C">
        <w:rPr>
          <w:lang w:val="sk-SK"/>
        </w:rPr>
        <w:t>Oprávnenosť výdavkov</w:t>
      </w:r>
      <w:bookmarkEnd w:id="51"/>
      <w:bookmarkEnd w:id="54"/>
      <w:bookmarkEnd w:id="5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w:t>
      </w:r>
      <w:r w:rsidRPr="0073389C">
        <w:lastRenderedPageBreak/>
        <w:t>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lastRenderedPageBreak/>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w:t>
      </w:r>
      <w:r w:rsidRPr="0073389C">
        <w:lastRenderedPageBreak/>
        <w:t>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Default="00AE5A8F" w:rsidP="008D155B">
      <w:pPr>
        <w:pStyle w:val="Odsekzoznamu"/>
        <w:numPr>
          <w:ilvl w:val="0"/>
          <w:numId w:val="7"/>
        </w:numPr>
        <w:spacing w:before="120" w:after="120" w:line="288" w:lineRule="auto"/>
        <w:ind w:left="567" w:hanging="283"/>
        <w:contextualSpacing w:val="0"/>
        <w:jc w:val="both"/>
      </w:pPr>
      <w:r w:rsidRPr="0073389C">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14:paraId="045254C4" w14:textId="68F20284"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14:paraId="658A9434" w14:textId="16523A73"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3"/>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14:paraId="10648727" w14:textId="24C40633"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14:paraId="7BA1AB19" w14:textId="31FF2C91" w:rsidR="00866C54" w:rsidRPr="000064C7" w:rsidRDefault="00866C54" w:rsidP="00AE6793">
      <w:pPr>
        <w:pStyle w:val="Odsekzoznamu"/>
        <w:numPr>
          <w:ilvl w:val="0"/>
          <w:numId w:val="125"/>
        </w:numPr>
        <w:spacing w:before="120" w:after="120" w:line="288" w:lineRule="auto"/>
        <w:jc w:val="both"/>
      </w:pPr>
      <w:r w:rsidRPr="00AE6793">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4"/>
      </w:r>
      <w:r w:rsidR="00877685">
        <w:t>,</w:t>
      </w:r>
    </w:p>
    <w:p w14:paraId="042DC650" w14:textId="255D9490"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14:paraId="6B1D91A6" w14:textId="6952CE9C"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14:paraId="68697C0C" w14:textId="60BB991D"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14:paraId="7A55CF3B" w14:textId="799F30FF"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14:paraId="6091D1FA" w14:textId="2C073143" w:rsidR="00AD59C9" w:rsidRPr="000064C7" w:rsidRDefault="00AD59C9" w:rsidP="00AE6793">
      <w:pPr>
        <w:pStyle w:val="Odsekzoznamu"/>
        <w:numPr>
          <w:ilvl w:val="0"/>
          <w:numId w:val="125"/>
        </w:numPr>
        <w:spacing w:before="120" w:after="120" w:line="288" w:lineRule="auto"/>
        <w:jc w:val="both"/>
      </w:pPr>
      <w:r>
        <w:lastRenderedPageBreak/>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14:paraId="29B3B56D" w14:textId="7336BDA6"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5"/>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 xml:space="preserve">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w:t>
      </w:r>
      <w:r w:rsidR="00BA629D" w:rsidRPr="0073389C">
        <w:lastRenderedPageBreak/>
        <w:t>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6"/>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 xml:space="preserve">aj za prácu odvedenú v rámci projektu, aj za iné činnosti, ktoré nesúvisia s projektom. Vystavovanie dvoch výplatných pások bude poskytovateľ posudzovať ako obchádzanie, resp. </w:t>
      </w:r>
      <w:r w:rsidRPr="0073389C">
        <w:lastRenderedPageBreak/>
        <w:t>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9"/>
      </w:r>
      <w:r w:rsidR="00694363" w:rsidRPr="0073389C">
        <w:t>),</w:t>
      </w:r>
      <w:r w:rsidRPr="0073389C">
        <w:t xml:space="preserve"> ako aj povinné odvody</w:t>
      </w:r>
      <w:r w:rsidRPr="0073389C">
        <w:rPr>
          <w:rStyle w:val="Odkaznapoznmkupodiarou"/>
          <w:sz w:val="19"/>
        </w:rPr>
        <w:footnoteReference w:id="30"/>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1"/>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2"/>
      </w:r>
      <w:r w:rsidRPr="0073389C">
        <w:t>), ako aj povinné odvody za zamestnávateľa</w:t>
      </w:r>
      <w:r w:rsidRPr="0073389C">
        <w:rPr>
          <w:rStyle w:val="Odkaznapoznmkupodiarou"/>
          <w:sz w:val="19"/>
        </w:rPr>
        <w:footnoteReference w:id="3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4"/>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5"/>
      </w:r>
      <w:r w:rsidRPr="009B4AEF">
        <w:rPr>
          <w:rFonts w:cs="Arial"/>
          <w:color w:val="000000"/>
          <w:szCs w:val="19"/>
          <w:lang w:eastAsia="en-AU"/>
        </w:rPr>
        <w:t xml:space="preserve"> je oprávnená maximálne do výšky 30% súčtu funkčných platov/miezd uvedených v platových dekrétoch (bez odmien) za predchádzajúcich 6 mesiacov </w:t>
      </w:r>
      <w:r w:rsidRPr="009B4AEF">
        <w:rPr>
          <w:rFonts w:cs="Arial"/>
          <w:color w:val="000000"/>
          <w:szCs w:val="19"/>
          <w:lang w:eastAsia="en-AU"/>
        </w:rPr>
        <w:lastRenderedPageBreak/>
        <w:t>(vrátane mesiaca, keď je odmena priznaná)</w:t>
      </w:r>
      <w:r w:rsidRPr="009B4AEF">
        <w:rPr>
          <w:rStyle w:val="Odkaznapoznmkupodiarou"/>
          <w:rFonts w:cs="Arial"/>
          <w:color w:val="000000"/>
          <w:sz w:val="19"/>
          <w:szCs w:val="19"/>
          <w:lang w:eastAsia="en-AU"/>
        </w:rPr>
        <w:footnoteReference w:id="36"/>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8"/>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lastRenderedPageBreak/>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9"/>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0"/>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1"/>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2"/>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3"/>
      </w:r>
      <w:r w:rsidRPr="00B13AD8">
        <w:rPr>
          <w:rFonts w:cs="Arial"/>
          <w:szCs w:val="19"/>
        </w:rPr>
        <w:t>, ktorá zahŕňa výdavky na ubytovanie, stravné a cestovné v SR</w:t>
      </w:r>
      <w:r w:rsidRPr="00B13AD8">
        <w:rPr>
          <w:rStyle w:val="Odkaznapoznmkupodiarou"/>
          <w:rFonts w:cs="Arial"/>
          <w:sz w:val="19"/>
          <w:szCs w:val="19"/>
        </w:rPr>
        <w:footnoteReference w:id="44"/>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5"/>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6"/>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7"/>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8"/>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9"/>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0"/>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51"/>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2"/>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3"/>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w:t>
      </w:r>
      <w:r w:rsidR="00621957">
        <w:rPr>
          <w:rFonts w:cs="Arial"/>
          <w:b w:val="0"/>
          <w:color w:val="auto"/>
          <w:sz w:val="19"/>
          <w:szCs w:val="19"/>
          <w:lang w:val="sk-SK"/>
        </w:rPr>
        <w:lastRenderedPageBreak/>
        <w:t xml:space="preserve">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4"/>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5"/>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6"/>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7"/>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8"/>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9"/>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0"/>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1"/>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w:t>
      </w:r>
      <w:r w:rsidR="002E2814">
        <w:rPr>
          <w:rFonts w:cs="Arial"/>
        </w:rPr>
        <w:lastRenderedPageBreak/>
        <w:t xml:space="preserve">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2"/>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3"/>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4"/>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5"/>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6"/>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7"/>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440636384"/>
      <w:r w:rsidRPr="0073389C">
        <w:rPr>
          <w:lang w:val="sk-SK"/>
        </w:rPr>
        <w:t>Postupy pri žiadosti o platbu</w:t>
      </w:r>
      <w:bookmarkEnd w:id="57"/>
      <w:bookmarkEnd w:id="58"/>
      <w:bookmarkEnd w:id="59"/>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w:t>
      </w:r>
      <w:r w:rsidR="001E3710" w:rsidRPr="0073389C">
        <w:rPr>
          <w:rFonts w:ascii="Arial" w:hAnsi="Arial" w:cs="Arial"/>
          <w:sz w:val="19"/>
          <w:szCs w:val="19"/>
          <w:lang w:val="sk-SK"/>
        </w:rPr>
        <w:lastRenderedPageBreak/>
        <w:t xml:space="preserve">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8"/>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9"/>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440636385"/>
      <w:r w:rsidRPr="0073389C">
        <w:rPr>
          <w:lang w:val="sk-SK"/>
        </w:rPr>
        <w:t>Špecifiká jednotlivých systémov financovania</w:t>
      </w:r>
      <w:bookmarkEnd w:id="60"/>
      <w:bookmarkEnd w:id="61"/>
      <w:bookmarkEnd w:id="62"/>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lastRenderedPageBreak/>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0"/>
      </w:r>
      <w:r w:rsidR="00AE5A8F" w:rsidRPr="0073389C">
        <w:t>:</w:t>
      </w:r>
    </w:p>
    <w:p w14:paraId="77F4A561" w14:textId="67D74C28" w:rsidR="006B7BE8" w:rsidRPr="00561705" w:rsidRDefault="006B7BE8" w:rsidP="006B7BE8">
      <w:pPr>
        <w:autoSpaceDE w:val="0"/>
        <w:autoSpaceDN w:val="0"/>
        <w:adjustRightInd w:val="0"/>
        <w:spacing w:before="120" w:after="120"/>
        <w:jc w:val="both"/>
        <w:rPr>
          <w:rFonts w:cs="Arial"/>
          <w:b/>
          <w:szCs w:val="16"/>
        </w:rPr>
      </w:pPr>
      <w:r>
        <w:rPr>
          <w:b/>
        </w:rPr>
        <w:lastRenderedPageBreak/>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lastRenderedPageBreak/>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lastRenderedPageBreak/>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w:t>
      </w:r>
      <w:r w:rsidRPr="0073389C">
        <w:lastRenderedPageBreak/>
        <w:t xml:space="preserve">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71"/>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w:t>
      </w:r>
      <w:r w:rsidRPr="0073389C">
        <w:rPr>
          <w:rFonts w:ascii="Arial" w:hAnsi="Arial" w:cs="Arial"/>
          <w:sz w:val="19"/>
          <w:szCs w:val="19"/>
          <w:lang w:val="sk-SK"/>
        </w:rPr>
        <w:lastRenderedPageBreak/>
        <w:t xml:space="preserve">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440636386"/>
      <w:r w:rsidRPr="0073389C">
        <w:rPr>
          <w:caps/>
          <w:lang w:val="sk-SK" w:eastAsia="cs-CZ"/>
        </w:rPr>
        <w:t>Ú</w:t>
      </w:r>
      <w:r w:rsidRPr="0073389C">
        <w:rPr>
          <w:lang w:val="sk-SK" w:eastAsia="cs-CZ"/>
        </w:rPr>
        <w:t>čtovné doklady a ich prílohy</w:t>
      </w:r>
      <w:bookmarkEnd w:id="63"/>
      <w:bookmarkEnd w:id="64"/>
      <w:bookmarkEnd w:id="65"/>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w:t>
      </w:r>
      <w:r w:rsidRPr="0073389C">
        <w:rPr>
          <w:rFonts w:ascii="Arial" w:hAnsi="Arial" w:cs="Arial"/>
          <w:sz w:val="19"/>
          <w:szCs w:val="19"/>
          <w:lang w:val="sk-SK" w:eastAsia="cs-CZ"/>
        </w:rPr>
        <w:lastRenderedPageBreak/>
        <w:t>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3"/>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8"/>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9"/>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0"/>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1"/>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lastRenderedPageBreak/>
        <w:t>pracovný výkaz (všeobecný pracovný výkaz</w:t>
      </w:r>
      <w:r w:rsidRPr="0073389C">
        <w:rPr>
          <w:rStyle w:val="Odkaznapoznmkupodiarou"/>
          <w:rFonts w:cs="Arial"/>
          <w:i/>
          <w:iCs/>
          <w:sz w:val="19"/>
          <w:szCs w:val="19"/>
          <w:lang w:val="sk-SK"/>
        </w:rPr>
        <w:footnoteReference w:id="84"/>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5"/>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6332EFE6" w:rsidR="006405AA" w:rsidRDefault="006405AA"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interné (pracovná zmluva, dohody</w:t>
      </w:r>
      <w:r w:rsidRPr="005668B8">
        <w:rPr>
          <w:rFonts w:eastAsia="Times New Roman" w:cs="Arial"/>
          <w:b/>
          <w:color w:val="auto"/>
          <w:szCs w:val="19"/>
          <w:lang w:val="sk-SK" w:eastAsia="en-US"/>
        </w:rPr>
        <w:t xml:space="preserve">) </w:t>
      </w:r>
      <w:r w:rsidRPr="008F3E68">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lastRenderedPageBreak/>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Default="000D06A7" w:rsidP="00DB1B99">
      <w:pPr>
        <w:pStyle w:val="Bulletslevel1"/>
        <w:spacing w:after="120" w:line="288" w:lineRule="auto"/>
        <w:ind w:left="567" w:hanging="283"/>
        <w:jc w:val="both"/>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2B1B68F8" w:rsidR="004A54D4" w:rsidRDefault="004A54D4"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Personálne výdavky – náhrada mzdy a platu</w:t>
      </w:r>
      <w:r w:rsidRPr="005668B8">
        <w:rPr>
          <w:rFonts w:eastAsia="Times New Roman" w:cs="Arial"/>
          <w:b/>
          <w:color w:val="auto"/>
          <w:szCs w:val="19"/>
          <w:lang w:val="sk-SK" w:eastAsia="en-US"/>
        </w:rPr>
        <w:t xml:space="preserve"> </w:t>
      </w:r>
      <w:r w:rsidRPr="00EB0B04">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Pr="00EB0B04">
        <w:rPr>
          <w:rFonts w:eastAsia="Times New Roman" w:cs="Arial"/>
          <w:b/>
          <w:color w:val="auto"/>
          <w:szCs w:val="19"/>
          <w:lang w:val="sk-SK" w:eastAsia="en-US"/>
        </w:rPr>
        <w:t> 10)</w:t>
      </w:r>
      <w:r>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8"/>
      </w:r>
      <w:r>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w:t>
      </w:r>
      <w:r w:rsidRPr="0073389C">
        <w:rPr>
          <w:lang w:val="sk-SK"/>
        </w:rPr>
        <w:lastRenderedPageBreak/>
        <w:t xml:space="preserve">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lastRenderedPageBreak/>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lastRenderedPageBreak/>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2"/>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evidencia o daňových odpisoch (napr. odpisový plán, ktorý zahŕňa daňové odpisy) alebo evidencia o účtovných odpisoch - odpisový plán (v prípade nehmotného majetku a zariadenia/vybavenia, ktorého </w:t>
      </w:r>
      <w:r w:rsidRPr="0073389C">
        <w:rPr>
          <w:rFonts w:ascii="Arial" w:hAnsi="Arial" w:cs="Arial"/>
          <w:sz w:val="19"/>
          <w:szCs w:val="19"/>
          <w:lang w:val="sk-SK"/>
        </w:rPr>
        <w:lastRenderedPageBreak/>
        <w:t>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4" w:name="_Toc410907876"/>
      <w:r>
        <w:rPr>
          <w:lang w:val="sk-SK"/>
        </w:rPr>
        <w:t xml:space="preserve"> </w:t>
      </w:r>
      <w:bookmarkStart w:id="115" w:name="_Toc440372876"/>
      <w:bookmarkStart w:id="116" w:name="_Toc440636387"/>
      <w:r w:rsidR="009D7F63" w:rsidRPr="0073389C">
        <w:rPr>
          <w:lang w:val="sk-SK"/>
        </w:rPr>
        <w:t>Nezrovnalosti a vysporiadanie finančných vzťahov</w:t>
      </w:r>
      <w:bookmarkEnd w:id="114"/>
      <w:bookmarkEnd w:id="115"/>
      <w:bookmarkEnd w:id="116"/>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 xml:space="preserve">partnera </w:t>
      </w:r>
      <w:r w:rsidR="00D52444" w:rsidRPr="00561705">
        <w:rPr>
          <w:rFonts w:cs="Arial"/>
          <w:szCs w:val="16"/>
        </w:rPr>
        <w:lastRenderedPageBreak/>
        <w:t>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7"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lastRenderedPageBreak/>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7"/>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8" w:name="_Toc410905149"/>
      <w:bookmarkStart w:id="119" w:name="_Toc410907877"/>
      <w:bookmarkStart w:id="120" w:name="_Toc440372877"/>
      <w:bookmarkStart w:id="121" w:name="_Toc440636388"/>
      <w:bookmarkEnd w:id="118"/>
      <w:r w:rsidRPr="0073389C">
        <w:rPr>
          <w:lang w:val="sk-SK"/>
        </w:rPr>
        <w:t>Verejné obstarávanie</w:t>
      </w:r>
      <w:bookmarkEnd w:id="119"/>
      <w:bookmarkEnd w:id="120"/>
      <w:bookmarkEnd w:id="121"/>
    </w:p>
    <w:p w14:paraId="7A55D246" w14:textId="738F16D2" w:rsidR="009D7F63" w:rsidRPr="0073389C" w:rsidRDefault="009D7F63" w:rsidP="00A10CB2">
      <w:pPr>
        <w:autoSpaceDE w:val="0"/>
        <w:autoSpaceDN w:val="0"/>
        <w:adjustRightInd w:val="0"/>
        <w:spacing w:before="120" w:after="120" w:line="288" w:lineRule="auto"/>
        <w:jc w:val="both"/>
      </w:pPr>
      <w:bookmarkStart w:id="122" w:name="p22-2-a"/>
      <w:bookmarkStart w:id="123" w:name="p23-5"/>
      <w:bookmarkStart w:id="124" w:name="p23-6"/>
      <w:bookmarkStart w:id="125" w:name="p24"/>
      <w:bookmarkStart w:id="126" w:name="_Toc409190739"/>
      <w:bookmarkStart w:id="127" w:name="_Toc360031225"/>
      <w:bookmarkEnd w:id="122"/>
      <w:bookmarkEnd w:id="123"/>
      <w:bookmarkEnd w:id="124"/>
      <w:bookmarkEnd w:id="125"/>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lastRenderedPageBreak/>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8" w:name="_Toc440372878"/>
      <w:bookmarkStart w:id="129" w:name="_Toc440636389"/>
      <w:r w:rsidRPr="0073389C">
        <w:rPr>
          <w:rFonts w:cs="Arial"/>
          <w:lang w:val="sk-SK"/>
        </w:rPr>
        <w:t>Plán obstarávaní</w:t>
      </w:r>
      <w:bookmarkEnd w:id="126"/>
      <w:bookmarkEnd w:id="127"/>
      <w:bookmarkEnd w:id="128"/>
      <w:bookmarkEnd w:id="129"/>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0" w:name="_Toc359942925"/>
      <w:bookmarkStart w:id="131" w:name="_Toc359943221"/>
      <w:bookmarkStart w:id="132" w:name="_Toc359943517"/>
      <w:bookmarkStart w:id="133" w:name="_Toc359943819"/>
      <w:bookmarkStart w:id="134" w:name="_Toc359944121"/>
      <w:bookmarkStart w:id="135" w:name="_Toc359944421"/>
      <w:bookmarkStart w:id="136" w:name="_Toc360024481"/>
      <w:bookmarkStart w:id="137" w:name="_Toc360030476"/>
      <w:bookmarkStart w:id="138" w:name="_Toc360031226"/>
      <w:bookmarkStart w:id="139" w:name="_Toc360109828"/>
      <w:bookmarkStart w:id="140" w:name="_Toc360110138"/>
      <w:bookmarkStart w:id="141" w:name="_Toc360118328"/>
      <w:bookmarkStart w:id="142" w:name="_Toc360118643"/>
      <w:bookmarkStart w:id="143" w:name="_Toc360031227"/>
      <w:bookmarkStart w:id="144" w:name="_Toc409190740"/>
      <w:bookmarkStart w:id="145" w:name="_Toc440372879"/>
      <w:bookmarkStart w:id="146" w:name="_Toc440636390"/>
      <w:bookmarkEnd w:id="130"/>
      <w:bookmarkEnd w:id="131"/>
      <w:bookmarkEnd w:id="132"/>
      <w:bookmarkEnd w:id="133"/>
      <w:bookmarkEnd w:id="134"/>
      <w:bookmarkEnd w:id="135"/>
      <w:bookmarkEnd w:id="136"/>
      <w:bookmarkEnd w:id="137"/>
      <w:bookmarkEnd w:id="138"/>
      <w:bookmarkEnd w:id="139"/>
      <w:bookmarkEnd w:id="140"/>
      <w:bookmarkEnd w:id="141"/>
      <w:bookmarkEnd w:id="142"/>
      <w:r w:rsidRPr="0073389C">
        <w:rPr>
          <w:lang w:val="sk-SK"/>
        </w:rPr>
        <w:t>Predpokladaná hodnota zákazky</w:t>
      </w:r>
      <w:bookmarkEnd w:id="143"/>
      <w:bookmarkEnd w:id="144"/>
      <w:r w:rsidRPr="0073389C">
        <w:rPr>
          <w:lang w:val="sk-SK"/>
        </w:rPr>
        <w:t xml:space="preserve"> (PHZ)</w:t>
      </w:r>
      <w:bookmarkEnd w:id="145"/>
      <w:bookmarkEnd w:id="146"/>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w:t>
      </w:r>
      <w:r w:rsidRPr="00A83C79">
        <w:lastRenderedPageBreak/>
        <w:t xml:space="preserve">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7" w:name="_Toc359942927"/>
      <w:bookmarkStart w:id="148" w:name="_Toc359943223"/>
      <w:bookmarkStart w:id="149" w:name="_Toc359943519"/>
      <w:bookmarkStart w:id="150" w:name="_Toc359943821"/>
      <w:bookmarkStart w:id="151" w:name="_Toc359944123"/>
      <w:bookmarkStart w:id="152" w:name="_Toc359944423"/>
      <w:bookmarkStart w:id="153" w:name="_Toc360024483"/>
      <w:bookmarkStart w:id="154" w:name="_Toc360030478"/>
      <w:bookmarkStart w:id="155" w:name="_Toc360031228"/>
      <w:bookmarkStart w:id="156" w:name="_Toc360109830"/>
      <w:bookmarkStart w:id="157" w:name="_Toc360110140"/>
      <w:bookmarkStart w:id="158" w:name="_Toc360118330"/>
      <w:bookmarkStart w:id="159" w:name="_Toc360118645"/>
      <w:bookmarkStart w:id="160" w:name="_Toc409190741"/>
      <w:bookmarkStart w:id="161" w:name="_Toc360031229"/>
      <w:bookmarkStart w:id="162" w:name="_Toc440372880"/>
      <w:bookmarkStart w:id="163" w:name="_Toc440636391"/>
      <w:bookmarkEnd w:id="147"/>
      <w:bookmarkEnd w:id="148"/>
      <w:bookmarkEnd w:id="149"/>
      <w:bookmarkEnd w:id="150"/>
      <w:bookmarkEnd w:id="151"/>
      <w:bookmarkEnd w:id="152"/>
      <w:bookmarkEnd w:id="153"/>
      <w:bookmarkEnd w:id="154"/>
      <w:bookmarkEnd w:id="155"/>
      <w:bookmarkEnd w:id="156"/>
      <w:bookmarkEnd w:id="157"/>
      <w:bookmarkEnd w:id="158"/>
      <w:bookmarkEnd w:id="159"/>
      <w:r w:rsidRPr="0073389C">
        <w:rPr>
          <w:lang w:val="sk-SK"/>
        </w:rPr>
        <w:t>Povinnosť uzatvoriť zmluvu</w:t>
      </w:r>
      <w:bookmarkEnd w:id="160"/>
      <w:bookmarkEnd w:id="161"/>
      <w:bookmarkEnd w:id="162"/>
      <w:bookmarkEnd w:id="163"/>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4" w:name="_Toc440372881"/>
      <w:bookmarkStart w:id="165" w:name="_Toc440636392"/>
      <w:r w:rsidRPr="0073389C">
        <w:rPr>
          <w:lang w:val="sk-SK"/>
        </w:rPr>
        <w:t>Finančné limity</w:t>
      </w:r>
      <w:bookmarkEnd w:id="164"/>
      <w:bookmarkEnd w:id="165"/>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6" w:name="_Toc440372882"/>
      <w:bookmarkStart w:id="167" w:name="_Toc440636393"/>
      <w:r w:rsidRPr="0073389C">
        <w:rPr>
          <w:lang w:val="sk-SK"/>
        </w:rPr>
        <w:t>Všeobecné ustanovenia</w:t>
      </w:r>
      <w:bookmarkEnd w:id="166"/>
      <w:bookmarkEnd w:id="167"/>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2F17EF">
        <w:rPr>
          <w:rFonts w:ascii="Arial" w:hAnsi="Arial" w:cs="Arial"/>
          <w:i/>
          <w:sz w:val="19"/>
          <w:szCs w:val="19"/>
          <w:highlight w:val="yellow"/>
        </w:rPr>
        <w:t xml:space="preserve">Dôležité upozornenie: </w:t>
      </w:r>
      <w:r w:rsidRPr="002F17EF">
        <w:rPr>
          <w:rFonts w:ascii="Arial" w:hAnsi="Arial" w:cs="Arial"/>
          <w:b w:val="0"/>
          <w:sz w:val="19"/>
          <w:szCs w:val="19"/>
          <w:highlight w:val="yellow"/>
        </w:rPr>
        <w:t xml:space="preserve">Prijímateľ je povinný zaevidovať verejné obstarávanie/obstarávanie do ITMS 2014+ vrátane všetkých povinných príloh najneskôr v deň doručenia dokumentácie na kontrolu </w:t>
      </w:r>
      <w:r>
        <w:rPr>
          <w:rFonts w:ascii="Arial" w:hAnsi="Arial" w:cs="Arial"/>
          <w:b w:val="0"/>
          <w:sz w:val="19"/>
          <w:szCs w:val="19"/>
          <w:highlight w:val="yellow"/>
        </w:rPr>
        <w:t>poskytovateľovi</w:t>
      </w:r>
      <w:r w:rsidRPr="002F17EF">
        <w:rPr>
          <w:rFonts w:ascii="Arial" w:hAnsi="Arial" w:cs="Arial"/>
          <w:b w:val="0"/>
          <w:sz w:val="19"/>
          <w:szCs w:val="19"/>
          <w:highlight w:val="yellow"/>
        </w:rPr>
        <w:t xml:space="preserve">. Prijímateľ je povinný zaevidovať VO do ITMS 2014+ a  aktualizovať stav VO tak, aby zodpovedal typu kontroly, na ktorú dané VO predkladá („pripravované“ – Prvá ex-ante kontrola; „v realizácii“ – Druhá ex-ante </w:t>
      </w:r>
      <w:r w:rsidRPr="002F17EF">
        <w:rPr>
          <w:rFonts w:ascii="Arial" w:hAnsi="Arial" w:cs="Arial"/>
          <w:b w:val="0"/>
          <w:sz w:val="19"/>
          <w:szCs w:val="19"/>
          <w:highlight w:val="yellow"/>
        </w:rPr>
        <w:lastRenderedPageBreak/>
        <w:t>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 xml:space="preserve">rijímateľ </w:t>
      </w:r>
      <w:r w:rsidRPr="00DA7632">
        <w:rPr>
          <w:rFonts w:ascii="Arial" w:hAnsi="Arial" w:cs="Arial"/>
          <w:b w:val="0"/>
          <w:sz w:val="19"/>
          <w:szCs w:val="19"/>
        </w:rPr>
        <w:lastRenderedPageBreak/>
        <w:t>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lastRenderedPageBreak/>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7E5EC36B" w:rsidR="00D72FDB" w:rsidRPr="0073389C" w:rsidRDefault="00D72FDB" w:rsidP="00DD30A9">
      <w:pPr>
        <w:pStyle w:val="Bulletslevel2"/>
        <w:numPr>
          <w:ilvl w:val="0"/>
          <w:numId w:val="0"/>
        </w:numPr>
        <w:spacing w:after="120" w:line="288" w:lineRule="auto"/>
        <w:ind w:left="567"/>
        <w:jc w:val="both"/>
        <w:rPr>
          <w:rFonts w:cs="Arial"/>
          <w:lang w:val="sk-SK"/>
        </w:rPr>
      </w:pP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113A3A54"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8" w:name="_Toc418000109"/>
      <w:bookmarkStart w:id="169" w:name="_Toc440372883"/>
      <w:bookmarkStart w:id="170" w:name="_Toc440636394"/>
      <w:bookmarkEnd w:id="168"/>
      <w:r w:rsidRPr="00C477FA">
        <w:rPr>
          <w:lang w:val="sk-SK"/>
        </w:rPr>
        <w:t xml:space="preserve">Typy </w:t>
      </w:r>
      <w:r w:rsidRPr="0073389C">
        <w:rPr>
          <w:lang w:val="sk-SK"/>
        </w:rPr>
        <w:t>kontroly VO</w:t>
      </w:r>
      <w:bookmarkEnd w:id="169"/>
      <w:bookmarkEnd w:id="170"/>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 xml:space="preserve">návrh </w:t>
      </w:r>
      <w:r w:rsidR="008D52ED" w:rsidRPr="008D52ED">
        <w:lastRenderedPageBreak/>
        <w:t>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5CB443A" w14:textId="235A6137" w:rsidR="00A327BE" w:rsidRPr="00AC3647" w:rsidRDefault="00A327BE" w:rsidP="00A327BE">
      <w:pPr>
        <w:spacing w:line="288" w:lineRule="auto"/>
        <w:jc w:val="both"/>
        <w:rPr>
          <w:rFonts w:cs="Arial"/>
          <w:szCs w:val="19"/>
        </w:rPr>
      </w:pPr>
    </w:p>
    <w:p w14:paraId="5789F0B1" w14:textId="77777777" w:rsidR="00A327BE" w:rsidRPr="0073389C" w:rsidRDefault="00A327BE"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lastRenderedPageBreak/>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lastRenderedPageBreak/>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7777777" w:rsidR="006E4DBE" w:rsidRPr="006E4DBE" w:rsidRDefault="006E4DBE" w:rsidP="006E4DBE">
      <w:pPr>
        <w:spacing w:before="120" w:after="120" w:line="288" w:lineRule="auto"/>
        <w:jc w:val="both"/>
      </w:pPr>
      <w:r w:rsidRPr="006E4DBE">
        <w:t>Povinnou náležitosťou podnetu na výkon kontroly zasielaného prijímateľom na ÚVO je označenie príslušného RO, operačného programu, názvu a čísla projektu, 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lastRenderedPageBreak/>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w:t>
      </w:r>
      <w:r w:rsidRPr="006E4DBE">
        <w:lastRenderedPageBreak/>
        <w:t>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AC1FA10"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 xml:space="preserve">(pokiaľ sa jedná o povinnú osobu podľa zákona o  slobode informácií), pričom zmluva je už platná </w:t>
      </w:r>
      <w:r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0"/>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lastRenderedPageBreak/>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lastRenderedPageBreak/>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w:t>
      </w:r>
      <w:r w:rsidRPr="004A1434">
        <w:rPr>
          <w:rFonts w:cs="Arial"/>
          <w:szCs w:val="19"/>
        </w:rPr>
        <w:lastRenderedPageBreak/>
        <w:t xml:space="preserve">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lastRenderedPageBreak/>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lastRenderedPageBreak/>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7E938511" w:rsidR="00963E0D" w:rsidRPr="00963E0D" w:rsidRDefault="00963E0D" w:rsidP="00963E0D">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1" w:name="_Toc440372884"/>
      <w:bookmarkStart w:id="172" w:name="_Toc440636395"/>
      <w:r w:rsidRPr="0073389C">
        <w:rPr>
          <w:lang w:val="sk-SK"/>
        </w:rPr>
        <w:t>Finančné opravy</w:t>
      </w:r>
      <w:bookmarkEnd w:id="171"/>
      <w:bookmarkEnd w:id="172"/>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5"/>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w:t>
      </w:r>
      <w:r w:rsidRPr="004B129C">
        <w:rPr>
          <w:rFonts w:cs="Arial"/>
          <w:szCs w:val="19"/>
        </w:rPr>
        <w:lastRenderedPageBreak/>
        <w:t xml:space="preserve">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3" w:name="_Toc440372885"/>
      <w:bookmarkStart w:id="174" w:name="_Toc440636396"/>
      <w:r w:rsidRPr="0073389C">
        <w:rPr>
          <w:lang w:val="sk-SK"/>
        </w:rPr>
        <w:t>Postupy vo verejnom obstarávaní</w:t>
      </w:r>
      <w:bookmarkEnd w:id="173"/>
      <w:bookmarkEnd w:id="174"/>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lastRenderedPageBreak/>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lastRenderedPageBreak/>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lastRenderedPageBreak/>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32A379B"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povinný postupovať podľa metodického pokynu CKO č. 5, ktorý upravuje postup pri určení finančných opráv za porušenie pravidiel a postupov VO</w:t>
      </w:r>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w:t>
      </w:r>
      <w:r w:rsidRPr="00B8687C">
        <w:rPr>
          <w:rFonts w:cs="Arial"/>
          <w:szCs w:val="19"/>
        </w:rPr>
        <w:lastRenderedPageBreak/>
        <w:t>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77777777" w:rsidR="004A5C0C" w:rsidRDefault="004A5C0C" w:rsidP="009D7F63">
      <w:pPr>
        <w:tabs>
          <w:tab w:val="left" w:pos="1014"/>
        </w:tabs>
        <w:spacing w:before="120" w:after="120" w:line="288" w:lineRule="auto"/>
        <w:jc w:val="both"/>
      </w:pPr>
      <w:r w:rsidRPr="004A5C0C">
        <w:t xml:space="preserve">Zákazky nad 15 000 eur na účely tejto kapitoly sú zákazky s nízkymi hodnotami podľa § 117 ZVO na tovary, stavebné práce alebo služby, ktoré nie sú bežne dostupné na trhu. V prípade, že predmetom </w:t>
      </w:r>
      <w:r w:rsidRPr="004A5C0C">
        <w:lastRenderedPageBreak/>
        <w:t>zákazky je tovar, stavebná práca alebo služba, ktorá je bežne dostupná na trhu, prijímateľ zadáva zákazku s využitím elektronického trhoviska podľa § 108 ods. 1 písm. a) ZVO alebo podľa § 113 až 116 ZVO.</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Pr="0073389C"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B76EA0">
          <w:rPr>
            <w:rStyle w:val="Hypertextovprepojenie"/>
          </w:rPr>
          <w:t>vo.sep@minv.sk</w:t>
        </w:r>
      </w:hyperlink>
      <w:r w:rsidR="004A5C0C">
        <w:rPr>
          <w:rStyle w:val="Hypertextovprepojenie"/>
        </w:rPr>
        <w:t xml:space="preserve">. </w:t>
      </w:r>
      <w:r w:rsidR="004A5C0C" w:rsidRPr="004A5C0C">
        <w:rPr>
          <w:color w:val="00A1DE"/>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w:t>
      </w:r>
      <w:r w:rsidRPr="0073389C">
        <w:lastRenderedPageBreak/>
        <w:t xml:space="preserve">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553B62DB" w:rsidR="005C00EC" w:rsidRPr="00DD30A9"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eur 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lastRenderedPageBreak/>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5" w:name="_Toc440372886"/>
      <w:bookmarkStart w:id="176" w:name="_Toc440636397"/>
      <w:r w:rsidRPr="0073389C">
        <w:rPr>
          <w:lang w:val="sk-SK"/>
        </w:rPr>
        <w:t>Zákazky nespadajúce pod zákon o verejnom obstarávaní</w:t>
      </w:r>
      <w:bookmarkEnd w:id="175"/>
      <w:bookmarkEnd w:id="176"/>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lastRenderedPageBreak/>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lastRenderedPageBreak/>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lastRenderedPageBreak/>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lastRenderedPageBreak/>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7" w:name="_Toc440372887"/>
      <w:bookmarkStart w:id="178" w:name="_Toc440636398"/>
      <w:r w:rsidRPr="0073389C">
        <w:rPr>
          <w:lang w:val="sk-SK"/>
        </w:rPr>
        <w:t>Konflikt záujmov</w:t>
      </w:r>
      <w:bookmarkEnd w:id="177"/>
      <w:bookmarkEnd w:id="178"/>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lastRenderedPageBreak/>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lastRenderedPageBreak/>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nezúčastnili (napríklad namiesto školení vykonávali </w:t>
            </w:r>
            <w:r w:rsidRPr="0073389C">
              <w:lastRenderedPageBreak/>
              <w:t>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w:t>
      </w:r>
      <w:r w:rsidRPr="0073389C">
        <w:rPr>
          <w:color w:val="000000"/>
        </w:rPr>
        <w:lastRenderedPageBreak/>
        <w:t xml:space="preserve">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79" w:name="_Toc410907878"/>
      <w:bookmarkStart w:id="180" w:name="_Toc440372888"/>
      <w:bookmarkStart w:id="181" w:name="_Toc440636399"/>
      <w:r w:rsidRPr="0073389C">
        <w:rPr>
          <w:lang w:val="sk-SK"/>
        </w:rPr>
        <w:t>Informačný systém (ITMS2014+)</w:t>
      </w:r>
      <w:bookmarkEnd w:id="179"/>
      <w:bookmarkEnd w:id="180"/>
      <w:bookmarkEnd w:id="181"/>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2" w:name="_Toc440372889"/>
      <w:bookmarkStart w:id="183" w:name="_Toc440636400"/>
      <w:r w:rsidRPr="0073389C">
        <w:rPr>
          <w:lang w:val="sk-SK"/>
        </w:rPr>
        <w:t>Informovanie a komunikácia</w:t>
      </w:r>
      <w:bookmarkEnd w:id="182"/>
      <w:bookmarkEnd w:id="183"/>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7"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w:t>
      </w:r>
      <w:r w:rsidRPr="0073389C">
        <w:lastRenderedPageBreak/>
        <w:t>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4" w:name="_Toc440372890"/>
      <w:bookmarkStart w:id="185" w:name="_Toc440636401"/>
      <w:bookmarkStart w:id="186" w:name="_Toc410907880"/>
      <w:r w:rsidRPr="0073389C">
        <w:rPr>
          <w:rFonts w:ascii="Arial" w:hAnsi="Arial"/>
          <w:lang w:val="sk-SK"/>
        </w:rPr>
        <w:lastRenderedPageBreak/>
        <w:t>Kontrola a overovanie oprávnenosti výdavkov</w:t>
      </w:r>
      <w:bookmarkEnd w:id="184"/>
      <w:bookmarkEnd w:id="185"/>
      <w:r w:rsidRPr="0073389C">
        <w:rPr>
          <w:rFonts w:ascii="Arial" w:hAnsi="Arial"/>
          <w:lang w:val="sk-SK"/>
        </w:rPr>
        <w:t xml:space="preserve"> </w:t>
      </w:r>
      <w:bookmarkEnd w:id="186"/>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7" w:name="_Toc410907881"/>
      <w:bookmarkStart w:id="188" w:name="_Toc440372891"/>
      <w:bookmarkStart w:id="189" w:name="_Toc440636402"/>
      <w:r w:rsidRPr="0073389C">
        <w:rPr>
          <w:lang w:val="sk-SK"/>
        </w:rPr>
        <w:t xml:space="preserve">Administratívna </w:t>
      </w:r>
      <w:r w:rsidR="00F17DE9">
        <w:rPr>
          <w:lang w:val="sk-SK"/>
        </w:rPr>
        <w:t xml:space="preserve">finančná </w:t>
      </w:r>
      <w:r w:rsidRPr="0073389C">
        <w:rPr>
          <w:lang w:val="sk-SK"/>
        </w:rPr>
        <w:t>kontrola</w:t>
      </w:r>
      <w:bookmarkEnd w:id="187"/>
      <w:bookmarkEnd w:id="188"/>
      <w:bookmarkEnd w:id="189"/>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0" w:name="_Toc410907882"/>
      <w:bookmarkStart w:id="191" w:name="_Toc440372892"/>
      <w:bookmarkStart w:id="192" w:name="_Toc440636403"/>
      <w:r>
        <w:rPr>
          <w:lang w:val="sk-SK"/>
        </w:rPr>
        <w:t>Finančná k</w:t>
      </w:r>
      <w:r w:rsidR="009D7F63" w:rsidRPr="0073389C">
        <w:rPr>
          <w:lang w:val="sk-SK"/>
        </w:rPr>
        <w:t>ontrola na mieste</w:t>
      </w:r>
      <w:bookmarkEnd w:id="190"/>
      <w:bookmarkEnd w:id="191"/>
      <w:bookmarkEnd w:id="192"/>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3"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4" w:name="_Toc440372893"/>
      <w:bookmarkStart w:id="195" w:name="_Toc440636404"/>
      <w:r w:rsidRPr="0073389C">
        <w:rPr>
          <w:rFonts w:ascii="Arial" w:hAnsi="Arial"/>
          <w:lang w:val="sk-SK"/>
        </w:rPr>
        <w:lastRenderedPageBreak/>
        <w:t>Pr</w:t>
      </w:r>
      <w:r>
        <w:rPr>
          <w:rFonts w:ascii="Arial" w:hAnsi="Arial"/>
          <w:lang w:val="sk-SK"/>
        </w:rPr>
        <w:t>echodné a záverečné ustanovenia</w:t>
      </w:r>
      <w:bookmarkEnd w:id="194"/>
      <w:bookmarkEnd w:id="195"/>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6" w:name="_Toc440372894"/>
      <w:bookmarkStart w:id="197" w:name="_Toc440636405"/>
      <w:r w:rsidRPr="0073389C">
        <w:rPr>
          <w:rFonts w:ascii="Arial" w:hAnsi="Arial"/>
          <w:lang w:val="sk-SK"/>
        </w:rPr>
        <w:lastRenderedPageBreak/>
        <w:t>Prílohy</w:t>
      </w:r>
      <w:bookmarkEnd w:id="193"/>
      <w:bookmarkEnd w:id="196"/>
      <w:bookmarkEnd w:id="197"/>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1FC249CC"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bookmarkStart w:id="198" w:name="_GoBack"/>
      <w:bookmarkEnd w:id="198"/>
    </w:p>
    <w:sectPr w:rsidR="007F77C1" w:rsidRPr="007F77C1" w:rsidSect="009F56AB">
      <w:headerReference w:type="even" r:id="rId28"/>
      <w:headerReference w:type="default" r:id="rId29"/>
      <w:footerReference w:type="even" r:id="rId30"/>
      <w:footerReference w:type="default" r:id="rId31"/>
      <w:headerReference w:type="first" r:id="rId32"/>
      <w:footerReference w:type="first" r:id="rId3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0140B" w14:textId="77777777" w:rsidR="00186BF1" w:rsidRDefault="00186BF1">
      <w:r>
        <w:separator/>
      </w:r>
    </w:p>
    <w:p w14:paraId="66DDC794" w14:textId="77777777" w:rsidR="00186BF1" w:rsidRDefault="00186BF1"/>
  </w:endnote>
  <w:endnote w:type="continuationSeparator" w:id="0">
    <w:p w14:paraId="27F2FC6F" w14:textId="77777777" w:rsidR="00186BF1" w:rsidRDefault="00186BF1">
      <w:r>
        <w:continuationSeparator/>
      </w:r>
    </w:p>
    <w:p w14:paraId="2FCAE8EB" w14:textId="77777777" w:rsidR="00186BF1" w:rsidRDefault="00186BF1"/>
  </w:endnote>
  <w:endnote w:type="continuationNotice" w:id="1">
    <w:p w14:paraId="09E87B73" w14:textId="77777777" w:rsidR="00186BF1" w:rsidRDefault="00186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DD30A9" w:rsidRDefault="00DD30A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DD30A9" w:rsidRDefault="00DD30A9">
    <w:pPr>
      <w:pStyle w:val="Pta"/>
      <w:jc w:val="right"/>
    </w:pPr>
    <w:r>
      <w:fldChar w:fldCharType="begin"/>
    </w:r>
    <w:r>
      <w:instrText xml:space="preserve"> PAGE   \* MERGEFORMAT </w:instrText>
    </w:r>
    <w:r>
      <w:fldChar w:fldCharType="separate"/>
    </w:r>
    <w:r w:rsidR="009B14A0">
      <w:rPr>
        <w:noProof/>
      </w:rPr>
      <w:t>145</w:t>
    </w:r>
    <w:r>
      <w:rPr>
        <w:noProof/>
      </w:rPr>
      <w:fldChar w:fldCharType="end"/>
    </w:r>
  </w:p>
  <w:p w14:paraId="5596B515" w14:textId="77777777" w:rsidR="00DD30A9" w:rsidRPr="003530AF" w:rsidRDefault="00DD30A9"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DD30A9" w:rsidRDefault="00DD30A9">
        <w:pPr>
          <w:pStyle w:val="Pta"/>
          <w:jc w:val="right"/>
        </w:pPr>
        <w:r>
          <w:fldChar w:fldCharType="begin"/>
        </w:r>
        <w:r>
          <w:instrText>PAGE   \* MERGEFORMAT</w:instrText>
        </w:r>
        <w:r>
          <w:fldChar w:fldCharType="separate"/>
        </w:r>
        <w:r w:rsidR="009B14A0" w:rsidRPr="009B14A0">
          <w:rPr>
            <w:noProof/>
            <w:lang w:val="sk-SK"/>
          </w:rPr>
          <w:t>1</w:t>
        </w:r>
        <w:r>
          <w:fldChar w:fldCharType="end"/>
        </w:r>
      </w:p>
    </w:sdtContent>
  </w:sdt>
  <w:p w14:paraId="3B48FDCA" w14:textId="77777777" w:rsidR="00DD30A9" w:rsidRDefault="00DD30A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D51D5" w14:textId="77777777" w:rsidR="00186BF1" w:rsidRDefault="00186BF1">
      <w:r>
        <w:separator/>
      </w:r>
    </w:p>
    <w:p w14:paraId="10193020" w14:textId="77777777" w:rsidR="00186BF1" w:rsidRDefault="00186BF1"/>
  </w:footnote>
  <w:footnote w:type="continuationSeparator" w:id="0">
    <w:p w14:paraId="13C4BDE8" w14:textId="77777777" w:rsidR="00186BF1" w:rsidRDefault="00186BF1">
      <w:r>
        <w:continuationSeparator/>
      </w:r>
    </w:p>
    <w:p w14:paraId="7DB63103" w14:textId="77777777" w:rsidR="00186BF1" w:rsidRDefault="00186BF1"/>
  </w:footnote>
  <w:footnote w:type="continuationNotice" w:id="1">
    <w:p w14:paraId="3471418B" w14:textId="77777777" w:rsidR="00186BF1" w:rsidRDefault="00186BF1"/>
  </w:footnote>
  <w:footnote w:id="2">
    <w:p w14:paraId="7A55D546" w14:textId="77777777" w:rsidR="00DD30A9" w:rsidRPr="009D7F63" w:rsidRDefault="00DD30A9"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DD30A9" w:rsidRPr="009D7F63" w:rsidRDefault="00DD30A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DD30A9" w:rsidRPr="009D7F63" w:rsidRDefault="00DD30A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DD30A9" w:rsidRPr="00587015" w:rsidRDefault="00DD30A9"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DD30A9" w:rsidRPr="009D7F63" w:rsidRDefault="00DD30A9"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DD30A9" w:rsidRPr="003911A6" w:rsidRDefault="00DD30A9">
      <w:pPr>
        <w:pStyle w:val="Textpoznmkypodiarou"/>
        <w:rP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DD30A9" w:rsidRPr="00F20EE9" w:rsidRDefault="00DD30A9">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DD30A9" w:rsidRPr="005D70A1" w:rsidRDefault="00DD30A9">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6CC7BD3B" w14:textId="5832019B" w:rsidR="00DD30A9" w:rsidRPr="00E25071" w:rsidRDefault="00DD30A9"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DD30A9" w:rsidRPr="009D7F63" w:rsidRDefault="00DD30A9"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DD30A9" w:rsidRPr="009D7F63" w:rsidRDefault="00DD30A9">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DD30A9" w:rsidRPr="007D7535" w:rsidRDefault="00DD30A9"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DD30A9" w:rsidRPr="009D7F63" w:rsidRDefault="00DD30A9"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DD30A9" w:rsidRPr="009D7F63" w:rsidRDefault="00DD30A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DD30A9" w:rsidRPr="009D7F63" w:rsidRDefault="00DD30A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DD30A9" w:rsidRPr="009D7F63" w:rsidRDefault="00DD30A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DD30A9" w:rsidRPr="009D7F63" w:rsidRDefault="00DD30A9"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DD30A9" w:rsidRPr="009D7F63" w:rsidRDefault="00DD30A9"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DD30A9" w:rsidRPr="009D7F63" w:rsidRDefault="00DD30A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DD30A9" w:rsidRPr="009D7F63" w:rsidRDefault="00DD30A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DD30A9" w:rsidRPr="009D7F63" w:rsidRDefault="00DD30A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DD30A9" w:rsidRPr="00041D2E" w:rsidRDefault="00DD30A9" w:rsidP="00041D2E">
      <w:pPr>
        <w:pStyle w:val="Textpoznmkypodiarou"/>
        <w:rPr>
          <w:lang w:val="sk-SK"/>
        </w:rPr>
      </w:pPr>
      <w:r w:rsidRPr="009D7F63">
        <w:rPr>
          <w:rFonts w:cs="Arial"/>
          <w:szCs w:val="16"/>
          <w:lang w:val="sk-SK" w:eastAsia="cs-CZ"/>
        </w:rPr>
        <w:t>4. pohonné hmoty.</w:t>
      </w:r>
    </w:p>
  </w:footnote>
  <w:footnote w:id="16">
    <w:p w14:paraId="7A55D551" w14:textId="77777777" w:rsidR="00DD30A9" w:rsidRPr="009D7F63" w:rsidRDefault="00DD30A9"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DD30A9" w:rsidRPr="009D7F63" w:rsidRDefault="00DD30A9"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DD30A9" w:rsidRPr="009D7F63" w:rsidRDefault="00DD30A9"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DD30A9" w:rsidRDefault="00DD30A9"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DD30A9" w:rsidRPr="009D7F63" w:rsidRDefault="00DD30A9">
      <w:pPr>
        <w:pStyle w:val="Textpoznmkypodiarou"/>
        <w:rPr>
          <w:rFonts w:cs="Arial"/>
          <w:szCs w:val="16"/>
          <w:lang w:val="sk-SK"/>
        </w:rPr>
      </w:pPr>
    </w:p>
  </w:footnote>
  <w:footnote w:id="20">
    <w:p w14:paraId="7A55D555" w14:textId="77777777" w:rsidR="00DD30A9" w:rsidRPr="009D7F63" w:rsidRDefault="00DD30A9"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DD30A9" w:rsidRPr="006E4CC8" w:rsidRDefault="00DD30A9"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DD30A9" w:rsidRPr="007F7349" w:rsidRDefault="00DD30A9"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DD30A9" w:rsidRPr="007F7349" w:rsidRDefault="00DD30A9"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DD30A9" w:rsidRPr="007F7349" w:rsidRDefault="00DD30A9"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DD30A9" w:rsidRPr="00F41F62" w:rsidRDefault="00DD30A9"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DD30A9" w:rsidRPr="009D7F63" w:rsidRDefault="00DD30A9"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7E1B0128" w14:textId="77777777" w:rsidR="00DD30A9" w:rsidRDefault="00DD30A9"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4">
    <w:p w14:paraId="6D0863AC" w14:textId="77777777" w:rsidR="00DD30A9" w:rsidRDefault="00DD30A9"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5">
    <w:p w14:paraId="4FEE481D" w14:textId="479E076B" w:rsidR="00DD30A9" w:rsidRPr="004F28ED" w:rsidRDefault="00DD30A9">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6">
    <w:p w14:paraId="3B927676" w14:textId="0B338479" w:rsidR="00DD30A9" w:rsidRPr="00965E93" w:rsidRDefault="00DD30A9"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7">
    <w:p w14:paraId="7A55D557" w14:textId="52DFEF6A" w:rsidR="00DD30A9" w:rsidRPr="009D7F63" w:rsidRDefault="00DD30A9"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8">
    <w:p w14:paraId="7A55D558" w14:textId="77777777" w:rsidR="00DD30A9" w:rsidRPr="009D7F63" w:rsidRDefault="00DD30A9"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14:paraId="17C29017" w14:textId="77777777" w:rsidR="00DD30A9" w:rsidRPr="009D7F63" w:rsidRDefault="00DD30A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14:paraId="7A55D559" w14:textId="77777777" w:rsidR="00DD30A9" w:rsidRPr="009D7F63" w:rsidRDefault="00DD30A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DD30A9" w:rsidRPr="009D7F63" w:rsidRDefault="00DD30A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14:paraId="7A55D55B" w14:textId="77777777" w:rsidR="00DD30A9" w:rsidRPr="009D7F63" w:rsidRDefault="00DD30A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2">
    <w:p w14:paraId="7A55D55C" w14:textId="77777777" w:rsidR="00DD30A9" w:rsidRPr="009D7F63" w:rsidRDefault="00DD30A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3">
    <w:p w14:paraId="7A55D55D" w14:textId="77777777" w:rsidR="00DD30A9" w:rsidRPr="009D7F63" w:rsidRDefault="00DD30A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DD30A9" w:rsidRPr="009D7F63" w:rsidRDefault="00DD30A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4">
    <w:p w14:paraId="7A55D55F" w14:textId="333E477A" w:rsidR="00DD30A9" w:rsidRPr="00062F88" w:rsidRDefault="00DD30A9"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5">
    <w:p w14:paraId="02F4C726" w14:textId="77777777" w:rsidR="00DD30A9" w:rsidRDefault="00DD30A9" w:rsidP="009B4AEF">
      <w:pPr>
        <w:pStyle w:val="Textpoznmkypodiarou"/>
        <w:jc w:val="both"/>
      </w:pPr>
      <w:r>
        <w:rPr>
          <w:rStyle w:val="Odkaznapoznmkupodiarou"/>
        </w:rPr>
        <w:footnoteRef/>
      </w:r>
      <w:r>
        <w:t xml:space="preserve"> Priznanie odmeny príslušnému zamestnancovi musí byť náležite zdôvodnené.</w:t>
      </w:r>
    </w:p>
  </w:footnote>
  <w:footnote w:id="36">
    <w:p w14:paraId="0388B3E2" w14:textId="4D28868F" w:rsidR="00DD30A9" w:rsidRDefault="00DD30A9"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7">
    <w:p w14:paraId="2E6985A0" w14:textId="77777777" w:rsidR="00DD30A9" w:rsidRDefault="00DD30A9"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8">
    <w:p w14:paraId="7A55D560" w14:textId="5738DA04" w:rsidR="00DD30A9" w:rsidRPr="00027286" w:rsidRDefault="00DD30A9"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9">
    <w:p w14:paraId="15B0D0EB" w14:textId="3E15725B" w:rsidR="00DD30A9" w:rsidRPr="00AF0A84" w:rsidRDefault="00DD30A9">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0">
    <w:p w14:paraId="7A55D564" w14:textId="77777777" w:rsidR="00DD30A9" w:rsidRPr="009D7F63" w:rsidRDefault="00DD30A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1">
    <w:p w14:paraId="6A48E5FC" w14:textId="67F6A6F7" w:rsidR="00DD30A9" w:rsidRPr="00B275B2" w:rsidRDefault="00DD30A9"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2">
    <w:p w14:paraId="75442DCC" w14:textId="77777777" w:rsidR="00DD30A9" w:rsidRPr="001277DD" w:rsidRDefault="00DD30A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3">
    <w:p w14:paraId="539DE3AB" w14:textId="77777777" w:rsidR="00DD30A9" w:rsidRPr="001277DD" w:rsidRDefault="00DD30A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4">
    <w:p w14:paraId="6B33FB00" w14:textId="77777777" w:rsidR="00DD30A9" w:rsidRPr="001277DD" w:rsidRDefault="00DD30A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5">
    <w:p w14:paraId="44310DB6" w14:textId="77777777" w:rsidR="00DD30A9" w:rsidRPr="001277DD" w:rsidRDefault="00DD30A9"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6">
    <w:p w14:paraId="28E7C95F" w14:textId="0B437969" w:rsidR="00DD30A9" w:rsidRPr="001277DD" w:rsidRDefault="00DD30A9"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7">
    <w:p w14:paraId="250CEFBD" w14:textId="33B32087" w:rsidR="00DD30A9" w:rsidRPr="00923BC1" w:rsidRDefault="00DD30A9"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8">
    <w:p w14:paraId="414F1A43" w14:textId="265724BA" w:rsidR="00DD30A9" w:rsidRPr="00772F95" w:rsidRDefault="00DD30A9"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9">
    <w:p w14:paraId="0C4735BA" w14:textId="1928CC24" w:rsidR="00DD30A9" w:rsidRPr="008A522F" w:rsidRDefault="00DD30A9"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0">
    <w:p w14:paraId="038A96C2" w14:textId="13120178" w:rsidR="00DD30A9" w:rsidRPr="00CE0C11" w:rsidRDefault="00DD30A9"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1">
    <w:p w14:paraId="59C496F8" w14:textId="77777777" w:rsidR="00DD30A9" w:rsidRPr="00621D47" w:rsidRDefault="00DD30A9"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2">
    <w:p w14:paraId="70BE8EFD" w14:textId="4D3737B4" w:rsidR="00DD30A9" w:rsidRPr="00391F1C" w:rsidRDefault="00DD30A9"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3">
    <w:p w14:paraId="7A55D567" w14:textId="77777777" w:rsidR="00DD30A9" w:rsidRPr="009D7F63" w:rsidRDefault="00DD30A9"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4">
    <w:p w14:paraId="7A55D568" w14:textId="77777777" w:rsidR="00DD30A9" w:rsidRPr="009D7F63" w:rsidRDefault="00DD30A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5">
    <w:p w14:paraId="7A55D569" w14:textId="77777777" w:rsidR="00DD30A9" w:rsidRPr="009D7F63" w:rsidRDefault="00DD30A9"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6">
    <w:p w14:paraId="7A55D56A" w14:textId="77777777" w:rsidR="00DD30A9" w:rsidRPr="009D7F63" w:rsidRDefault="00DD30A9"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7">
    <w:p w14:paraId="7A55D56B" w14:textId="77777777" w:rsidR="00DD30A9" w:rsidRPr="009D7F63" w:rsidRDefault="00DD30A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8">
    <w:p w14:paraId="7A55D56E" w14:textId="416A13B1" w:rsidR="00DD30A9" w:rsidRPr="009D7F63" w:rsidRDefault="00DD30A9"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9">
    <w:p w14:paraId="7DAB27E8" w14:textId="77777777" w:rsidR="00DD30A9" w:rsidRPr="00405EED" w:rsidRDefault="00DD30A9"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0">
    <w:p w14:paraId="7A55D570" w14:textId="36F68E99" w:rsidR="00DD30A9" w:rsidRPr="009D7F63" w:rsidRDefault="00DD30A9"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1">
    <w:p w14:paraId="7A55D571" w14:textId="77777777" w:rsidR="00DD30A9" w:rsidRPr="009D7F63" w:rsidRDefault="00DD30A9"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2">
    <w:p w14:paraId="7A55D573" w14:textId="77777777" w:rsidR="00DD30A9" w:rsidRPr="009D7F63" w:rsidRDefault="00DD30A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3">
    <w:p w14:paraId="7A55D574" w14:textId="77777777" w:rsidR="00DD30A9" w:rsidRPr="009D7F63" w:rsidRDefault="00DD30A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4">
    <w:p w14:paraId="7A55D575" w14:textId="2BC95C86" w:rsidR="00DD30A9" w:rsidRPr="009D7F63" w:rsidRDefault="00DD30A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5">
    <w:p w14:paraId="7A55D578" w14:textId="77777777" w:rsidR="00DD30A9" w:rsidRPr="009D7F63" w:rsidRDefault="00DD30A9"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6">
    <w:p w14:paraId="4F8F3C8B" w14:textId="77777777" w:rsidR="00DD30A9" w:rsidRPr="009D7F63" w:rsidRDefault="00DD30A9"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7">
    <w:p w14:paraId="451277DD" w14:textId="77777777" w:rsidR="00DD30A9" w:rsidRPr="009D7F63" w:rsidRDefault="00DD30A9"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8">
    <w:p w14:paraId="7A55D579" w14:textId="67088258" w:rsidR="00DD30A9" w:rsidRPr="009D7F63" w:rsidRDefault="00DD30A9"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9">
    <w:p w14:paraId="45573155" w14:textId="14B40576" w:rsidR="00DD30A9" w:rsidRPr="001A7C8D" w:rsidRDefault="00DD30A9">
      <w:pPr>
        <w:pStyle w:val="Textpoznmkypodiarou"/>
        <w:rPr>
          <w:lang w:val="sk-SK"/>
        </w:rPr>
      </w:pPr>
      <w:r>
        <w:rPr>
          <w:rStyle w:val="Odkaznapoznmkupodiarou"/>
        </w:rPr>
        <w:footnoteRef/>
      </w:r>
      <w:r>
        <w:t xml:space="preserve"> V zmysle ustanovenia § 22 ods. 2 zákona o finančnej kontrole</w:t>
      </w:r>
    </w:p>
  </w:footnote>
  <w:footnote w:id="70">
    <w:p w14:paraId="7A55D57A" w14:textId="77777777" w:rsidR="00DD30A9" w:rsidRPr="009D7F63" w:rsidRDefault="00DD30A9"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DD30A9" w:rsidRPr="009D7F63" w:rsidRDefault="00DD30A9">
      <w:pPr>
        <w:pStyle w:val="Textpoznmkypodiarou"/>
        <w:rPr>
          <w:rFonts w:cs="Arial"/>
          <w:szCs w:val="16"/>
          <w:lang w:val="sk-SK"/>
        </w:rPr>
      </w:pPr>
    </w:p>
  </w:footnote>
  <w:footnote w:id="71">
    <w:p w14:paraId="7A55D57C" w14:textId="77777777" w:rsidR="00DD30A9" w:rsidRPr="009D7F63" w:rsidRDefault="00DD30A9"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72">
    <w:p w14:paraId="7A55D57D" w14:textId="77777777" w:rsidR="00DD30A9" w:rsidRPr="009D7F63" w:rsidRDefault="00DD30A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3">
    <w:p w14:paraId="7A55D57E" w14:textId="77777777" w:rsidR="00DD30A9" w:rsidRPr="009D7F63" w:rsidRDefault="00DD30A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4">
    <w:p w14:paraId="7A55D57F" w14:textId="77777777" w:rsidR="00DD30A9" w:rsidRPr="009D7F63" w:rsidRDefault="00DD30A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5">
    <w:p w14:paraId="7A55D580" w14:textId="77777777" w:rsidR="00DD30A9" w:rsidRPr="009D7F63" w:rsidRDefault="00DD30A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6">
    <w:p w14:paraId="7A55D581" w14:textId="77777777" w:rsidR="00DD30A9" w:rsidRPr="009D7F63" w:rsidRDefault="00DD30A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7">
    <w:p w14:paraId="7A55D582" w14:textId="77777777" w:rsidR="00DD30A9" w:rsidRPr="009D7F63" w:rsidRDefault="00DD30A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8">
    <w:p w14:paraId="7A55D583" w14:textId="052EABFD" w:rsidR="00DD30A9" w:rsidRPr="009D7F63" w:rsidRDefault="00DD30A9"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DD30A9" w:rsidRPr="009D7F63" w:rsidRDefault="00DD30A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DD30A9" w:rsidRPr="009D7F63" w:rsidRDefault="00DD30A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DD30A9" w:rsidRPr="002D4DD9" w:rsidRDefault="00DD30A9"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9">
    <w:p w14:paraId="7A55D587" w14:textId="77777777" w:rsidR="00DD30A9" w:rsidRPr="002D4DD9" w:rsidRDefault="00DD30A9"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0">
    <w:p w14:paraId="7A55D588" w14:textId="3A6CB76A" w:rsidR="00DD30A9" w:rsidRPr="00666AC8" w:rsidRDefault="00DD30A9"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1">
    <w:p w14:paraId="7A55D589" w14:textId="5F9FD177" w:rsidR="00DD30A9" w:rsidRPr="002D4DD9" w:rsidRDefault="00DD30A9"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2">
    <w:p w14:paraId="7A55D58A" w14:textId="010C8D03" w:rsidR="00DD30A9" w:rsidRPr="002D4DD9" w:rsidRDefault="00DD30A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3">
    <w:p w14:paraId="7A55D58B" w14:textId="36DE3BCF" w:rsidR="00DD30A9" w:rsidRPr="002D4DD9" w:rsidRDefault="00DD30A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4">
    <w:p w14:paraId="7A55D58D" w14:textId="03BDB2CD" w:rsidR="00DD30A9" w:rsidRPr="009D7F63" w:rsidRDefault="00DD30A9"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5">
    <w:p w14:paraId="7A55D58E" w14:textId="5905C154" w:rsidR="00DD30A9" w:rsidRPr="009D7F63" w:rsidRDefault="00DD30A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6">
    <w:p w14:paraId="21B88E63" w14:textId="45116D8F" w:rsidR="00DD30A9" w:rsidRPr="00DB1B99" w:rsidRDefault="00DD30A9"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7">
    <w:p w14:paraId="18F68BE6" w14:textId="77777777" w:rsidR="00DD30A9" w:rsidRPr="009D7F63" w:rsidRDefault="00DD30A9"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8">
    <w:p w14:paraId="7B8CA6F4" w14:textId="057B66FF" w:rsidR="00DD30A9" w:rsidRPr="00DD30A9" w:rsidRDefault="00DD30A9"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89">
    <w:p w14:paraId="245656D0" w14:textId="34CF1211" w:rsidR="00DD30A9" w:rsidRPr="009D7F63" w:rsidRDefault="00DD30A9"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0">
    <w:p w14:paraId="1BAE06D9" w14:textId="3DB56B7A" w:rsidR="00DD30A9" w:rsidRPr="008D4874" w:rsidRDefault="00DD30A9">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1">
    <w:p w14:paraId="06A0F700" w14:textId="0A8847BF" w:rsidR="00DD30A9" w:rsidRPr="00A9227A" w:rsidRDefault="00DD30A9"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7A55D594" w14:textId="7255982C" w:rsidR="00DD30A9" w:rsidRPr="009D7F63" w:rsidRDefault="00DD30A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3">
    <w:p w14:paraId="7A55D597" w14:textId="7291098D" w:rsidR="00DD30A9" w:rsidRPr="009D7F63" w:rsidRDefault="00DD30A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4">
    <w:p w14:paraId="7A55D598" w14:textId="1F811B32" w:rsidR="00DD30A9" w:rsidRPr="009D7F63" w:rsidRDefault="00DD30A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5">
    <w:p w14:paraId="7A55D599" w14:textId="36FD13E6" w:rsidR="00DD30A9" w:rsidRPr="009D7F63" w:rsidRDefault="00DD30A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6">
    <w:p w14:paraId="155B50B0" w14:textId="6BA108FC" w:rsidR="00DD30A9" w:rsidRPr="001D76D4" w:rsidRDefault="00DD30A9">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7">
    <w:p w14:paraId="2376272C" w14:textId="0C61265A" w:rsidR="00DD30A9" w:rsidRDefault="00186BF1" w:rsidP="009D7F63">
      <w:pPr>
        <w:pStyle w:val="Textpoznmkypodiarou"/>
        <w:rPr>
          <w:rFonts w:cs="Arial"/>
          <w:szCs w:val="16"/>
          <w:lang w:val="sk-SK"/>
        </w:rPr>
      </w:pPr>
      <w:hyperlink r:id="rId3" w:history="1">
        <w:r w:rsidR="00DD30A9" w:rsidRPr="00D11568">
          <w:rPr>
            <w:rStyle w:val="Hypertextovprepojenie"/>
            <w:rFonts w:cs="Arial"/>
            <w:sz w:val="16"/>
            <w:szCs w:val="16"/>
            <w:lang w:val="sk-SK"/>
          </w:rPr>
          <w:t>http://www.uvo.gov.sk/legislativametodika-dohlad/metodicke-usmernenia/vseobecne-metodicke-usmernenia-zakon-c-252006-z-z--4bc.html</w:t>
        </w:r>
      </w:hyperlink>
      <w:r w:rsidR="00DD30A9" w:rsidRPr="00D11568">
        <w:rPr>
          <w:rFonts w:cs="Arial"/>
          <w:szCs w:val="16"/>
          <w:lang w:val="sk-SK"/>
        </w:rPr>
        <w:t xml:space="preserve">  a http://www.uvo.gov.sk/legislativametodika-dohlad/metodicke-usmernenia/vseobecne-metodicke-usmernenia-zakon-c-3432015-z-z--51e.html</w:t>
      </w:r>
      <w:r w:rsidR="00DD30A9" w:rsidRPr="00D11568" w:rsidDel="00D11568">
        <w:rPr>
          <w:rFonts w:cs="Arial"/>
          <w:szCs w:val="16"/>
          <w:lang w:val="sk-SK"/>
        </w:rPr>
        <w:t xml:space="preserve"> </w:t>
      </w:r>
      <w:r w:rsidR="00DD30A9" w:rsidRPr="00552EAD">
        <w:rPr>
          <w:rStyle w:val="Odkaznapoznmkupodiarou"/>
          <w:rFonts w:cs="Arial"/>
          <w:szCs w:val="16"/>
          <w:vertAlign w:val="baseline"/>
        </w:rPr>
        <w:t xml:space="preserve"> </w:t>
      </w:r>
      <w:r w:rsidR="00DD30A9" w:rsidRPr="009D7F63">
        <w:rPr>
          <w:rStyle w:val="Odkaznapoznmkupodiarou"/>
          <w:rFonts w:cs="Arial"/>
          <w:szCs w:val="16"/>
        </w:rPr>
        <w:footnoteRef/>
      </w:r>
    </w:p>
    <w:p w14:paraId="7A55D59A" w14:textId="542F27CA" w:rsidR="00DD30A9" w:rsidRPr="009D7F63" w:rsidRDefault="00DD30A9" w:rsidP="009D7F63">
      <w:pPr>
        <w:pStyle w:val="Textpoznmkypodiarou"/>
        <w:rPr>
          <w:rFonts w:cs="Arial"/>
          <w:szCs w:val="16"/>
          <w:lang w:val="sk-SK"/>
        </w:rPr>
      </w:pPr>
    </w:p>
  </w:footnote>
  <w:footnote w:id="98">
    <w:p w14:paraId="7A55D59B" w14:textId="77777777" w:rsidR="00DD30A9" w:rsidRPr="009D7F63" w:rsidRDefault="00DD30A9"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DD30A9" w:rsidRPr="009D7F63" w:rsidRDefault="00DD30A9"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DD30A9" w:rsidRPr="009D7F63" w:rsidRDefault="00DD30A9" w:rsidP="009D7F63">
      <w:pPr>
        <w:pStyle w:val="Textpoznmkypodiarou"/>
        <w:rPr>
          <w:rFonts w:cs="Arial"/>
          <w:szCs w:val="16"/>
        </w:rPr>
      </w:pPr>
    </w:p>
  </w:footnote>
  <w:footnote w:id="99">
    <w:p w14:paraId="7758003D" w14:textId="22D7C67A" w:rsidR="00DD30A9" w:rsidRPr="00E70656" w:rsidRDefault="00DD30A9">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0">
    <w:p w14:paraId="7A55D59E" w14:textId="77777777" w:rsidR="00DD30A9" w:rsidRPr="009D7F63" w:rsidRDefault="00DD30A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1">
    <w:p w14:paraId="7A55D59F" w14:textId="77777777" w:rsidR="00DD30A9" w:rsidRPr="009D7F63" w:rsidRDefault="00DD30A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2">
    <w:p w14:paraId="6D173C29" w14:textId="17D0C2A7" w:rsidR="00DD30A9" w:rsidRPr="00963E0D" w:rsidRDefault="00DD30A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3">
    <w:p w14:paraId="17304A12" w14:textId="40A4FD60" w:rsidR="00DD30A9" w:rsidRPr="00963E0D" w:rsidRDefault="00DD30A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4">
    <w:p w14:paraId="169A4593" w14:textId="3DC46A8E" w:rsidR="00DD30A9" w:rsidRPr="00963E0D" w:rsidRDefault="00DD30A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5">
    <w:p w14:paraId="7A55D5A1" w14:textId="77777777" w:rsidR="00DD30A9" w:rsidRPr="009D7F63" w:rsidRDefault="00DD30A9"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6">
    <w:p w14:paraId="2A432946" w14:textId="35C29B09" w:rsidR="00DD30A9" w:rsidRPr="001325C0" w:rsidRDefault="00DD30A9">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7">
    <w:p w14:paraId="19A2FB50" w14:textId="3C8C6416" w:rsidR="00DD30A9" w:rsidRPr="001325C0" w:rsidRDefault="00DD30A9">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8">
    <w:p w14:paraId="6CF6D88E" w14:textId="77777777" w:rsidR="00DD30A9" w:rsidRPr="001325C0" w:rsidRDefault="00DD30A9"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DD30A9" w:rsidRPr="001325C0" w:rsidRDefault="00DD30A9">
      <w:pPr>
        <w:pStyle w:val="Textpoznmkypodiarou"/>
        <w:rPr>
          <w:lang w:val="sk-SK"/>
        </w:rPr>
      </w:pPr>
    </w:p>
  </w:footnote>
  <w:footnote w:id="109">
    <w:p w14:paraId="60152099" w14:textId="6522BB22" w:rsidR="00DD30A9" w:rsidRPr="00DF0865" w:rsidRDefault="00DD30A9">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0">
    <w:p w14:paraId="7A55D5A3" w14:textId="77777777" w:rsidR="00DD30A9" w:rsidRPr="009D7F63" w:rsidRDefault="00DD30A9"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DD30A9" w:rsidRDefault="00DD30A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DD30A9" w:rsidRDefault="00DD30A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DD30A9" w:rsidRDefault="00DD30A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8">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9">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5">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1">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6">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8">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4">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0">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6">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5"/>
  </w:num>
  <w:num w:numId="2">
    <w:abstractNumId w:val="23"/>
  </w:num>
  <w:num w:numId="3">
    <w:abstractNumId w:val="90"/>
  </w:num>
  <w:num w:numId="4">
    <w:abstractNumId w:val="18"/>
  </w:num>
  <w:num w:numId="5">
    <w:abstractNumId w:val="41"/>
  </w:num>
  <w:num w:numId="6">
    <w:abstractNumId w:val="118"/>
  </w:num>
  <w:num w:numId="7">
    <w:abstractNumId w:val="117"/>
  </w:num>
  <w:num w:numId="8">
    <w:abstractNumId w:val="80"/>
  </w:num>
  <w:num w:numId="9">
    <w:abstractNumId w:val="97"/>
  </w:num>
  <w:num w:numId="10">
    <w:abstractNumId w:val="49"/>
  </w:num>
  <w:num w:numId="11">
    <w:abstractNumId w:val="77"/>
  </w:num>
  <w:num w:numId="12">
    <w:abstractNumId w:val="107"/>
  </w:num>
  <w:num w:numId="13">
    <w:abstractNumId w:val="1"/>
  </w:num>
  <w:num w:numId="14">
    <w:abstractNumId w:val="27"/>
  </w:num>
  <w:num w:numId="15">
    <w:abstractNumId w:val="58"/>
  </w:num>
  <w:num w:numId="16">
    <w:abstractNumId w:val="7"/>
  </w:num>
  <w:num w:numId="17">
    <w:abstractNumId w:val="8"/>
  </w:num>
  <w:num w:numId="18">
    <w:abstractNumId w:val="54"/>
  </w:num>
  <w:num w:numId="19">
    <w:abstractNumId w:val="81"/>
  </w:num>
  <w:num w:numId="20">
    <w:abstractNumId w:val="26"/>
  </w:num>
  <w:num w:numId="21">
    <w:abstractNumId w:val="56"/>
  </w:num>
  <w:num w:numId="22">
    <w:abstractNumId w:val="67"/>
  </w:num>
  <w:num w:numId="23">
    <w:abstractNumId w:val="9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0"/>
  </w:num>
  <w:num w:numId="29">
    <w:abstractNumId w:val="98"/>
  </w:num>
  <w:num w:numId="30">
    <w:abstractNumId w:val="78"/>
  </w:num>
  <w:num w:numId="31">
    <w:abstractNumId w:val="113"/>
  </w:num>
  <w:num w:numId="32">
    <w:abstractNumId w:val="95"/>
  </w:num>
  <w:num w:numId="33">
    <w:abstractNumId w:val="103"/>
  </w:num>
  <w:num w:numId="34">
    <w:abstractNumId w:val="109"/>
  </w:num>
  <w:num w:numId="35">
    <w:abstractNumId w:val="40"/>
  </w:num>
  <w:num w:numId="36">
    <w:abstractNumId w:val="48"/>
  </w:num>
  <w:num w:numId="37">
    <w:abstractNumId w:val="46"/>
  </w:num>
  <w:num w:numId="38">
    <w:abstractNumId w:val="53"/>
  </w:num>
  <w:num w:numId="39">
    <w:abstractNumId w:val="65"/>
  </w:num>
  <w:num w:numId="40">
    <w:abstractNumId w:val="112"/>
  </w:num>
  <w:num w:numId="41">
    <w:abstractNumId w:val="2"/>
  </w:num>
  <w:num w:numId="42">
    <w:abstractNumId w:val="51"/>
  </w:num>
  <w:num w:numId="43">
    <w:abstractNumId w:val="76"/>
  </w:num>
  <w:num w:numId="44">
    <w:abstractNumId w:val="5"/>
  </w:num>
  <w:num w:numId="45">
    <w:abstractNumId w:val="34"/>
  </w:num>
  <w:num w:numId="46">
    <w:abstractNumId w:val="87"/>
  </w:num>
  <w:num w:numId="47">
    <w:abstractNumId w:val="96"/>
  </w:num>
  <w:num w:numId="48">
    <w:abstractNumId w:val="50"/>
  </w:num>
  <w:num w:numId="49">
    <w:abstractNumId w:val="68"/>
  </w:num>
  <w:num w:numId="50">
    <w:abstractNumId w:val="108"/>
  </w:num>
  <w:num w:numId="51">
    <w:abstractNumId w:val="33"/>
  </w:num>
  <w:num w:numId="52">
    <w:abstractNumId w:val="19"/>
  </w:num>
  <w:num w:numId="53">
    <w:abstractNumId w:val="9"/>
  </w:num>
  <w:num w:numId="54">
    <w:abstractNumId w:val="36"/>
  </w:num>
  <w:num w:numId="55">
    <w:abstractNumId w:val="24"/>
  </w:num>
  <w:num w:numId="56">
    <w:abstractNumId w:val="37"/>
  </w:num>
  <w:num w:numId="57">
    <w:abstractNumId w:val="16"/>
  </w:num>
  <w:num w:numId="58">
    <w:abstractNumId w:val="74"/>
  </w:num>
  <w:num w:numId="59">
    <w:abstractNumId w:val="52"/>
  </w:num>
  <w:num w:numId="60">
    <w:abstractNumId w:val="42"/>
  </w:num>
  <w:num w:numId="61">
    <w:abstractNumId w:val="84"/>
  </w:num>
  <w:num w:numId="62">
    <w:abstractNumId w:val="92"/>
  </w:num>
  <w:num w:numId="63">
    <w:abstractNumId w:val="62"/>
  </w:num>
  <w:num w:numId="64">
    <w:abstractNumId w:val="6"/>
  </w:num>
  <w:num w:numId="65">
    <w:abstractNumId w:val="32"/>
  </w:num>
  <w:num w:numId="66">
    <w:abstractNumId w:val="38"/>
  </w:num>
  <w:num w:numId="67">
    <w:abstractNumId w:val="15"/>
  </w:num>
  <w:num w:numId="68">
    <w:abstractNumId w:val="73"/>
  </w:num>
  <w:num w:numId="69">
    <w:abstractNumId w:val="17"/>
  </w:num>
  <w:num w:numId="70">
    <w:abstractNumId w:val="110"/>
  </w:num>
  <w:num w:numId="71">
    <w:abstractNumId w:val="57"/>
  </w:num>
  <w:num w:numId="72">
    <w:abstractNumId w:val="30"/>
  </w:num>
  <w:num w:numId="73">
    <w:abstractNumId w:val="104"/>
  </w:num>
  <w:num w:numId="74">
    <w:abstractNumId w:val="13"/>
  </w:num>
  <w:num w:numId="75">
    <w:abstractNumId w:val="115"/>
  </w:num>
  <w:num w:numId="76">
    <w:abstractNumId w:val="20"/>
  </w:num>
  <w:num w:numId="77">
    <w:abstractNumId w:val="114"/>
  </w:num>
  <w:num w:numId="78">
    <w:abstractNumId w:val="43"/>
  </w:num>
  <w:num w:numId="79">
    <w:abstractNumId w:val="119"/>
  </w:num>
  <w:num w:numId="80">
    <w:abstractNumId w:val="44"/>
  </w:num>
  <w:num w:numId="81">
    <w:abstractNumId w:val="28"/>
  </w:num>
  <w:num w:numId="82">
    <w:abstractNumId w:val="101"/>
  </w:num>
  <w:num w:numId="83">
    <w:abstractNumId w:val="60"/>
  </w:num>
  <w:num w:numId="84">
    <w:abstractNumId w:val="10"/>
  </w:num>
  <w:num w:numId="85">
    <w:abstractNumId w:val="31"/>
  </w:num>
  <w:num w:numId="86">
    <w:abstractNumId w:val="22"/>
  </w:num>
  <w:num w:numId="87">
    <w:abstractNumId w:val="79"/>
  </w:num>
  <w:num w:numId="88">
    <w:abstractNumId w:val="59"/>
  </w:num>
  <w:num w:numId="89">
    <w:abstractNumId w:val="35"/>
  </w:num>
  <w:num w:numId="90">
    <w:abstractNumId w:val="3"/>
  </w:num>
  <w:num w:numId="91">
    <w:abstractNumId w:val="111"/>
  </w:num>
  <w:num w:numId="92">
    <w:abstractNumId w:val="12"/>
  </w:num>
  <w:num w:numId="93">
    <w:abstractNumId w:val="47"/>
  </w:num>
  <w:num w:numId="94">
    <w:abstractNumId w:val="88"/>
  </w:num>
  <w:num w:numId="95">
    <w:abstractNumId w:val="83"/>
  </w:num>
  <w:num w:numId="96">
    <w:abstractNumId w:val="45"/>
  </w:num>
  <w:num w:numId="97">
    <w:abstractNumId w:val="66"/>
  </w:num>
  <w:num w:numId="98">
    <w:abstractNumId w:val="4"/>
  </w:num>
  <w:num w:numId="99">
    <w:abstractNumId w:val="69"/>
  </w:num>
  <w:num w:numId="100">
    <w:abstractNumId w:val="102"/>
  </w:num>
  <w:num w:numId="101">
    <w:abstractNumId w:val="89"/>
  </w:num>
  <w:num w:numId="102">
    <w:abstractNumId w:val="11"/>
  </w:num>
  <w:num w:numId="103">
    <w:abstractNumId w:val="63"/>
  </w:num>
  <w:num w:numId="104">
    <w:abstractNumId w:val="116"/>
  </w:num>
  <w:num w:numId="105">
    <w:abstractNumId w:val="61"/>
  </w:num>
  <w:num w:numId="106">
    <w:abstractNumId w:val="93"/>
  </w:num>
  <w:num w:numId="107">
    <w:abstractNumId w:val="82"/>
  </w:num>
  <w:num w:numId="108">
    <w:abstractNumId w:val="94"/>
  </w:num>
  <w:num w:numId="10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5"/>
  </w:num>
  <w:num w:numId="1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1"/>
  </w:num>
  <w:num w:numId="1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0"/>
  </w:num>
  <w:num w:numId="124">
    <w:abstractNumId w:val="39"/>
  </w:num>
  <w:num w:numId="125">
    <w:abstractNumId w:val="64"/>
  </w:num>
  <w:num w:numId="126">
    <w:abstractNumId w:val="99"/>
  </w:num>
  <w:num w:numId="127">
    <w:abstractNumId w:val="29"/>
  </w:num>
  <w:num w:numId="128">
    <w:abstractNumId w:val="86"/>
  </w:num>
  <w:num w:numId="129">
    <w:abstractNumId w:val="25"/>
  </w:num>
  <w:num w:numId="130">
    <w:abstractNumId w:val="106"/>
  </w:num>
  <w:num w:numId="131">
    <w:abstractNumId w:val="14"/>
  </w:num>
  <w:num w:numId="132">
    <w:abstractNumId w:val="100"/>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FF"/>
    <w:rsid w:val="00283AD7"/>
    <w:rsid w:val="00283B03"/>
    <w:rsid w:val="00284048"/>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173"/>
    <w:rsid w:val="00310A76"/>
    <w:rsid w:val="0031134D"/>
    <w:rsid w:val="00311D40"/>
    <w:rsid w:val="00312317"/>
    <w:rsid w:val="00312331"/>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681"/>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B41"/>
    <w:rsid w:val="00662CF6"/>
    <w:rsid w:val="006639B8"/>
    <w:rsid w:val="00664561"/>
    <w:rsid w:val="00664641"/>
    <w:rsid w:val="0066562F"/>
    <w:rsid w:val="00665FF9"/>
    <w:rsid w:val="00666AC8"/>
    <w:rsid w:val="00667313"/>
    <w:rsid w:val="006678DA"/>
    <w:rsid w:val="00667A53"/>
    <w:rsid w:val="00670284"/>
    <w:rsid w:val="006705A5"/>
    <w:rsid w:val="0067095A"/>
    <w:rsid w:val="0067100F"/>
    <w:rsid w:val="006716B6"/>
    <w:rsid w:val="006719C8"/>
    <w:rsid w:val="00671D4D"/>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425F"/>
    <w:rsid w:val="00894654"/>
    <w:rsid w:val="00894819"/>
    <w:rsid w:val="00894A29"/>
    <w:rsid w:val="00894D05"/>
    <w:rsid w:val="00895CB0"/>
    <w:rsid w:val="00895EFD"/>
    <w:rsid w:val="00896742"/>
    <w:rsid w:val="00896953"/>
    <w:rsid w:val="008A09EC"/>
    <w:rsid w:val="008A0B25"/>
    <w:rsid w:val="008A0C3A"/>
    <w:rsid w:val="008A0CE1"/>
    <w:rsid w:val="008A1A13"/>
    <w:rsid w:val="008A213D"/>
    <w:rsid w:val="008A2C57"/>
    <w:rsid w:val="008A2F9E"/>
    <w:rsid w:val="008A49CF"/>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6973"/>
    <w:rsid w:val="009969EC"/>
    <w:rsid w:val="009974B4"/>
    <w:rsid w:val="00997944"/>
    <w:rsid w:val="00997DF4"/>
    <w:rsid w:val="009A0528"/>
    <w:rsid w:val="009A0658"/>
    <w:rsid w:val="009A1F8B"/>
    <w:rsid w:val="009A2054"/>
    <w:rsid w:val="009A27FA"/>
    <w:rsid w:val="009A3B71"/>
    <w:rsid w:val="009A4156"/>
    <w:rsid w:val="009A41D4"/>
    <w:rsid w:val="009A420D"/>
    <w:rsid w:val="009A4965"/>
    <w:rsid w:val="009A5181"/>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3C9F"/>
    <w:rsid w:val="00AA532A"/>
    <w:rsid w:val="00AA5523"/>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20"/>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BBE"/>
    <w:rsid w:val="00E4734A"/>
    <w:rsid w:val="00E47923"/>
    <w:rsid w:val="00E47BCB"/>
    <w:rsid w:val="00E50545"/>
    <w:rsid w:val="00E5084E"/>
    <w:rsid w:val="00E50BC9"/>
    <w:rsid w:val="00E50FF1"/>
    <w:rsid w:val="00E5103B"/>
    <w:rsid w:val="00E51A8F"/>
    <w:rsid w:val="00E51F33"/>
    <w:rsid w:val="00E52032"/>
    <w:rsid w:val="00E533C0"/>
    <w:rsid w:val="00E538ED"/>
    <w:rsid w:val="00E5394F"/>
    <w:rsid w:val="00E53FED"/>
    <w:rsid w:val="00E540B7"/>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39A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opevs.eu" TargetMode="External"/><Relationship Id="rId30" Type="http://schemas.openxmlformats.org/officeDocument/2006/relationships/footer" Target="foot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4E427F-DE6C-4F48-9C00-B87A09DC7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147</Pages>
  <Words>73288</Words>
  <Characters>417746</Characters>
  <Application>Microsoft Office Word</Application>
  <DocSecurity>0</DocSecurity>
  <Lines>3481</Lines>
  <Paragraphs>980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490054</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2017-11-28T09:33:00Z</dcterms:created>
  <dcterms:modified xsi:type="dcterms:W3CDTF">2017-11-28T11:45:00Z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