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7338D469"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867FF7">
        <w:rPr>
          <w:rFonts w:cs="Arial"/>
          <w:sz w:val="20"/>
          <w:lang w:eastAsia="cs-CZ"/>
        </w:rPr>
        <w:t>31</w:t>
      </w:r>
      <w:r w:rsidRPr="00E25071">
        <w:rPr>
          <w:rFonts w:cs="Arial"/>
          <w:sz w:val="20"/>
          <w:lang w:eastAsia="cs-CZ"/>
        </w:rPr>
        <w:t xml:space="preserve">. </w:t>
      </w:r>
      <w:r w:rsidR="00541EA6">
        <w:rPr>
          <w:rFonts w:cs="Arial"/>
          <w:sz w:val="20"/>
          <w:lang w:eastAsia="cs-CZ"/>
        </w:rPr>
        <w:t>0</w:t>
      </w:r>
      <w:r w:rsidR="00867FF7">
        <w:rPr>
          <w:rFonts w:cs="Arial"/>
          <w:sz w:val="20"/>
          <w:lang w:eastAsia="cs-CZ"/>
        </w:rPr>
        <w:t>8</w:t>
      </w:r>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4C1CDB8D" w:rsidR="003E4CCB" w:rsidRDefault="003E4CCB" w:rsidP="003E4CCB">
      <w:pPr>
        <w:spacing w:line="360" w:lineRule="auto"/>
        <w:rPr>
          <w:rFonts w:cs="Arial"/>
          <w:sz w:val="20"/>
          <w:lang w:eastAsia="cs-CZ"/>
        </w:rPr>
      </w:pPr>
      <w:r w:rsidRPr="00347388">
        <w:rPr>
          <w:rFonts w:cs="Arial"/>
          <w:sz w:val="20"/>
          <w:lang w:eastAsia="cs-CZ"/>
        </w:rPr>
        <w:t xml:space="preserve">Dátum: </w:t>
      </w:r>
      <w:r w:rsidR="00867FF7">
        <w:rPr>
          <w:rFonts w:cs="Arial"/>
          <w:sz w:val="20"/>
          <w:lang w:eastAsia="cs-CZ"/>
        </w:rPr>
        <w:t>31</w:t>
      </w:r>
      <w:r w:rsidRPr="00E25071">
        <w:rPr>
          <w:rFonts w:cs="Arial"/>
          <w:sz w:val="20"/>
          <w:lang w:eastAsia="cs-CZ"/>
        </w:rPr>
        <w:t>. </w:t>
      </w:r>
      <w:r w:rsidR="00541EA6" w:rsidRPr="00E25071">
        <w:rPr>
          <w:rFonts w:cs="Arial"/>
          <w:sz w:val="20"/>
          <w:lang w:eastAsia="cs-CZ"/>
        </w:rPr>
        <w:t>0</w:t>
      </w:r>
      <w:r w:rsidR="00867FF7">
        <w:rPr>
          <w:rFonts w:cs="Arial"/>
          <w:sz w:val="20"/>
          <w:lang w:eastAsia="cs-CZ"/>
        </w:rPr>
        <w:t>8</w:t>
      </w:r>
      <w:r w:rsidRPr="00E25071">
        <w:rPr>
          <w:rFonts w:cs="Arial"/>
          <w:sz w:val="20"/>
          <w:lang w:eastAsia="cs-CZ"/>
        </w:rPr>
        <w:t>. 201</w:t>
      </w:r>
      <w:r w:rsidR="00E25071" w:rsidRPr="00E25071">
        <w:rPr>
          <w:rFonts w:cs="Arial"/>
          <w:sz w:val="20"/>
          <w:lang w:eastAsia="cs-CZ"/>
        </w:rPr>
        <w:t>7</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76903E86" w:rsidR="003E4CCB" w:rsidRPr="00347388" w:rsidRDefault="006B41BD" w:rsidP="00140CE3">
      <w:pPr>
        <w:tabs>
          <w:tab w:val="left" w:pos="1134"/>
        </w:tabs>
        <w:spacing w:line="360" w:lineRule="auto"/>
        <w:rPr>
          <w:rFonts w:cs="Arial"/>
          <w:sz w:val="20"/>
          <w:lang w:eastAsia="cs-CZ"/>
        </w:rPr>
      </w:pPr>
      <w:r w:rsidRPr="008F2822">
        <w:t xml:space="preserve">Dátum: </w:t>
      </w:r>
      <w:r w:rsidR="00867FF7">
        <w:t>31</w:t>
      </w:r>
      <w:r w:rsidRPr="00140CE3">
        <w:t>. 0</w:t>
      </w:r>
      <w:r w:rsidR="00867FF7">
        <w:t>8</w:t>
      </w:r>
      <w:r>
        <w:t>. 2017</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7373628"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867FF7">
        <w:rPr>
          <w:rFonts w:cs="Arial"/>
          <w:sz w:val="20"/>
          <w:lang w:eastAsia="cs-CZ"/>
        </w:rPr>
        <w:t>31</w:t>
      </w:r>
      <w:r w:rsidRPr="00E25071">
        <w:rPr>
          <w:rFonts w:cs="Arial"/>
          <w:sz w:val="20"/>
          <w:lang w:eastAsia="cs-CZ"/>
        </w:rPr>
        <w:t>. </w:t>
      </w:r>
      <w:r w:rsidR="00541EA6" w:rsidRPr="00E25071">
        <w:rPr>
          <w:rFonts w:cs="Arial"/>
          <w:sz w:val="20"/>
          <w:lang w:eastAsia="cs-CZ"/>
        </w:rPr>
        <w:t>0</w:t>
      </w:r>
      <w:r w:rsidR="00867FF7">
        <w:rPr>
          <w:rFonts w:cs="Arial"/>
          <w:sz w:val="20"/>
          <w:lang w:eastAsia="cs-CZ"/>
        </w:rPr>
        <w:t>8</w:t>
      </w:r>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32939C2F"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r w:rsidR="006327E6">
        <w:rPr>
          <w:rFonts w:cs="Arial"/>
          <w:sz w:val="18"/>
          <w:lang w:eastAsia="cs-CZ"/>
        </w:rPr>
        <w:t>2</w:t>
      </w:r>
      <w:r w:rsidRPr="00E25071">
        <w:rPr>
          <w:rFonts w:cs="Arial"/>
          <w:sz w:val="18"/>
          <w:lang w:eastAsia="cs-CZ"/>
        </w:rPr>
        <w:t xml:space="preserve">; platnosť od: </w:t>
      </w:r>
      <w:r w:rsidR="006327E6">
        <w:rPr>
          <w:rFonts w:cs="Arial"/>
          <w:sz w:val="18"/>
          <w:lang w:eastAsia="cs-CZ"/>
        </w:rPr>
        <w:t>31</w:t>
      </w:r>
      <w:r w:rsidRPr="00E25071">
        <w:rPr>
          <w:rFonts w:cs="Arial"/>
          <w:sz w:val="18"/>
          <w:lang w:eastAsia="cs-CZ"/>
        </w:rPr>
        <w:t xml:space="preserve">. </w:t>
      </w:r>
      <w:r w:rsidR="00541EA6" w:rsidRPr="00E25071">
        <w:rPr>
          <w:rFonts w:cs="Arial"/>
          <w:sz w:val="18"/>
          <w:lang w:eastAsia="cs-CZ"/>
        </w:rPr>
        <w:t>0</w:t>
      </w:r>
      <w:r w:rsidR="006327E6">
        <w:rPr>
          <w:rFonts w:cs="Arial"/>
          <w:sz w:val="18"/>
          <w:lang w:eastAsia="cs-CZ"/>
        </w:rPr>
        <w:t>8</w:t>
      </w:r>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r w:rsidR="006327E6">
        <w:rPr>
          <w:rFonts w:cs="Arial"/>
          <w:sz w:val="18"/>
          <w:lang w:eastAsia="cs-CZ"/>
        </w:rPr>
        <w:t>3</w:t>
      </w:r>
      <w:r w:rsidR="00336A1C">
        <w:rPr>
          <w:rFonts w:cs="Arial"/>
          <w:sz w:val="18"/>
          <w:lang w:eastAsia="cs-CZ"/>
        </w:rPr>
        <w:t>1</w:t>
      </w:r>
      <w:r w:rsidRPr="00E25071">
        <w:rPr>
          <w:rFonts w:cs="Arial"/>
          <w:sz w:val="18"/>
          <w:lang w:eastAsia="cs-CZ"/>
        </w:rPr>
        <w:t xml:space="preserve">. </w:t>
      </w:r>
      <w:r w:rsidR="00541EA6" w:rsidRPr="00E25071">
        <w:rPr>
          <w:rFonts w:cs="Arial"/>
          <w:sz w:val="18"/>
          <w:lang w:eastAsia="cs-CZ"/>
        </w:rPr>
        <w:t>0</w:t>
      </w:r>
      <w:r w:rsidR="006327E6">
        <w:rPr>
          <w:rFonts w:cs="Arial"/>
          <w:sz w:val="18"/>
          <w:lang w:eastAsia="cs-CZ"/>
        </w:rPr>
        <w:t>8</w:t>
      </w:r>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987173">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987173">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987173">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987173">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987173">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987173">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987173">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987173">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987173">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14:paraId="2FCA8F9F" w14:textId="5AF2688F" w:rsidR="00BF74B6" w:rsidRPr="00E135DC" w:rsidRDefault="00987173">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14:paraId="08F482A2" w14:textId="04590F03" w:rsidR="00BF74B6" w:rsidRPr="00E135DC" w:rsidRDefault="00987173">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55</w:t>
        </w:r>
        <w:r w:rsidR="00BF74B6" w:rsidRPr="00E135DC">
          <w:rPr>
            <w:rFonts w:cs="Arial"/>
            <w:noProof/>
            <w:webHidden/>
            <w:sz w:val="19"/>
            <w:szCs w:val="19"/>
          </w:rPr>
          <w:fldChar w:fldCharType="end"/>
        </w:r>
      </w:hyperlink>
    </w:p>
    <w:p w14:paraId="27443959" w14:textId="67A19B23" w:rsidR="00BF74B6" w:rsidRPr="00E135DC" w:rsidRDefault="00987173">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56</w:t>
        </w:r>
        <w:r w:rsidR="00BF74B6" w:rsidRPr="00E135DC">
          <w:rPr>
            <w:rFonts w:cs="Arial"/>
            <w:noProof/>
            <w:webHidden/>
            <w:sz w:val="19"/>
            <w:szCs w:val="19"/>
          </w:rPr>
          <w:fldChar w:fldCharType="end"/>
        </w:r>
      </w:hyperlink>
    </w:p>
    <w:p w14:paraId="7F58E385" w14:textId="3DC97EA2" w:rsidR="00BF74B6" w:rsidRPr="00E135DC" w:rsidRDefault="00987173">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63</w:t>
        </w:r>
        <w:r w:rsidR="00BF74B6" w:rsidRPr="00E135DC">
          <w:rPr>
            <w:rFonts w:cs="Arial"/>
            <w:noProof/>
            <w:webHidden/>
            <w:sz w:val="19"/>
            <w:szCs w:val="19"/>
          </w:rPr>
          <w:fldChar w:fldCharType="end"/>
        </w:r>
      </w:hyperlink>
    </w:p>
    <w:p w14:paraId="101D5D81" w14:textId="760BDC6C" w:rsidR="00BF74B6" w:rsidRPr="00E135DC" w:rsidRDefault="00987173">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77</w:t>
        </w:r>
        <w:r w:rsidR="00BF74B6" w:rsidRPr="00E135DC">
          <w:rPr>
            <w:rFonts w:cs="Arial"/>
            <w:noProof/>
            <w:webHidden/>
            <w:sz w:val="19"/>
            <w:szCs w:val="19"/>
          </w:rPr>
          <w:fldChar w:fldCharType="end"/>
        </w:r>
      </w:hyperlink>
    </w:p>
    <w:p w14:paraId="5198DED3" w14:textId="401417B1"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9264"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14:paraId="25C99981" w14:textId="1CB1F927" w:rsidR="00BF74B6" w:rsidRPr="00E135DC" w:rsidRDefault="00987173">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83</w:t>
        </w:r>
        <w:r w:rsidR="00BF74B6" w:rsidRPr="00E135DC">
          <w:rPr>
            <w:rFonts w:cs="Arial"/>
            <w:noProof/>
            <w:webHidden/>
            <w:sz w:val="19"/>
            <w:szCs w:val="19"/>
          </w:rPr>
          <w:fldChar w:fldCharType="end"/>
        </w:r>
      </w:hyperlink>
    </w:p>
    <w:p w14:paraId="4212AEDF" w14:textId="72B0048A" w:rsidR="00BF74B6" w:rsidRPr="00E135DC" w:rsidRDefault="00987173">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14:paraId="61CB8603" w14:textId="65AB04E3" w:rsidR="00BF74B6" w:rsidRPr="00E135DC" w:rsidRDefault="00987173">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14:paraId="57E11B99" w14:textId="6CE761E3" w:rsidR="00BF74B6" w:rsidRPr="00E135DC" w:rsidRDefault="00987173">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14:paraId="71EC95BE" w14:textId="03A3311D" w:rsidR="00BF74B6" w:rsidRPr="00E135DC" w:rsidRDefault="00987173">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90</w:t>
        </w:r>
        <w:r w:rsidR="00BF74B6" w:rsidRPr="00E135DC">
          <w:rPr>
            <w:rFonts w:cs="Arial"/>
            <w:noProof/>
            <w:webHidden/>
            <w:sz w:val="19"/>
            <w:szCs w:val="19"/>
          </w:rPr>
          <w:fldChar w:fldCharType="end"/>
        </w:r>
      </w:hyperlink>
    </w:p>
    <w:p w14:paraId="1C39A013" w14:textId="269FCB87" w:rsidR="00BF74B6" w:rsidRPr="00E135DC" w:rsidRDefault="00987173">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107</w:t>
        </w:r>
        <w:r w:rsidR="00BF74B6" w:rsidRPr="00E135DC">
          <w:rPr>
            <w:rFonts w:cs="Arial"/>
            <w:noProof/>
            <w:webHidden/>
            <w:sz w:val="19"/>
            <w:szCs w:val="19"/>
          </w:rPr>
          <w:fldChar w:fldCharType="end"/>
        </w:r>
      </w:hyperlink>
    </w:p>
    <w:p w14:paraId="69BEAABA" w14:textId="5B4FB10A" w:rsidR="00BF74B6" w:rsidRPr="00E135DC" w:rsidRDefault="00987173">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111</w:t>
        </w:r>
        <w:r w:rsidR="00BF74B6" w:rsidRPr="00E135DC">
          <w:rPr>
            <w:rFonts w:cs="Arial"/>
            <w:noProof/>
            <w:webHidden/>
            <w:sz w:val="19"/>
            <w:szCs w:val="19"/>
          </w:rPr>
          <w:fldChar w:fldCharType="end"/>
        </w:r>
      </w:hyperlink>
    </w:p>
    <w:p w14:paraId="52A899C1" w14:textId="1B47B2EA" w:rsidR="00BF74B6" w:rsidRPr="00E135DC" w:rsidRDefault="00987173">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117</w:t>
        </w:r>
        <w:r w:rsidR="00BF74B6" w:rsidRPr="00E135DC">
          <w:rPr>
            <w:rFonts w:cs="Arial"/>
            <w:noProof/>
            <w:webHidden/>
            <w:sz w:val="19"/>
            <w:szCs w:val="19"/>
          </w:rPr>
          <w:fldChar w:fldCharType="end"/>
        </w:r>
      </w:hyperlink>
    </w:p>
    <w:p w14:paraId="291F6871" w14:textId="28A76C2A" w:rsidR="00BF74B6" w:rsidRPr="00E135DC" w:rsidRDefault="00987173">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123</w:t>
        </w:r>
        <w:r w:rsidR="00BF74B6" w:rsidRPr="00E135DC">
          <w:rPr>
            <w:rFonts w:cs="Arial"/>
            <w:noProof/>
            <w:webHidden/>
            <w:sz w:val="19"/>
            <w:szCs w:val="19"/>
          </w:rPr>
          <w:fldChar w:fldCharType="end"/>
        </w:r>
      </w:hyperlink>
    </w:p>
    <w:p w14:paraId="34F67D09" w14:textId="39ED40BA"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129</w:t>
        </w:r>
        <w:r w:rsidR="00BF74B6" w:rsidRPr="00E135DC">
          <w:rPr>
            <w:rFonts w:cs="Arial"/>
            <w:noProof/>
            <w:webHidden/>
            <w:sz w:val="19"/>
            <w:szCs w:val="19"/>
          </w:rPr>
          <w:fldChar w:fldCharType="end"/>
        </w:r>
      </w:hyperlink>
    </w:p>
    <w:p w14:paraId="6F278EC5" w14:textId="5DD9059F"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130</w:t>
        </w:r>
        <w:r w:rsidR="00BF74B6" w:rsidRPr="00E135DC">
          <w:rPr>
            <w:rFonts w:cs="Arial"/>
            <w:noProof/>
            <w:webHidden/>
            <w:sz w:val="19"/>
            <w:szCs w:val="19"/>
          </w:rPr>
          <w:fldChar w:fldCharType="end"/>
        </w:r>
      </w:hyperlink>
    </w:p>
    <w:p w14:paraId="5B9D06DD" w14:textId="69B98DBC" w:rsidR="00BF74B6" w:rsidRPr="00E135DC" w:rsidRDefault="00987173">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14:paraId="321D2A52" w14:textId="0E7F517F"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14:paraId="23ED640E" w14:textId="456633B4" w:rsidR="00BF74B6" w:rsidRPr="00E135DC" w:rsidRDefault="00987173">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135</w:t>
        </w:r>
        <w:r w:rsidR="00BF74B6" w:rsidRPr="00E135DC">
          <w:rPr>
            <w:rFonts w:cs="Arial"/>
            <w:noProof/>
            <w:webHidden/>
            <w:sz w:val="19"/>
            <w:szCs w:val="19"/>
          </w:rPr>
          <w:fldChar w:fldCharType="end"/>
        </w:r>
      </w:hyperlink>
    </w:p>
    <w:p w14:paraId="652445E0" w14:textId="7CDA4D90" w:rsidR="00BF74B6" w:rsidRPr="00E135DC" w:rsidRDefault="00987173">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142</w:t>
        </w:r>
        <w:r w:rsidR="00BF74B6" w:rsidRPr="00E135DC">
          <w:rPr>
            <w:rFonts w:cs="Arial"/>
            <w:noProof/>
            <w:webHidden/>
            <w:sz w:val="19"/>
            <w:szCs w:val="19"/>
          </w:rPr>
          <w:fldChar w:fldCharType="end"/>
        </w:r>
      </w:hyperlink>
    </w:p>
    <w:p w14:paraId="3B998595" w14:textId="5DDE90F6" w:rsidR="00BF74B6" w:rsidRPr="00E135DC" w:rsidRDefault="00987173">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143</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w:t>
      </w:r>
      <w:r w:rsidRPr="0073389C">
        <w:rPr>
          <w:rFonts w:cs="Arial"/>
          <w:szCs w:val="19"/>
          <w:lang w:val="sk-SK"/>
        </w:rPr>
        <w:lastRenderedPageBreak/>
        <w:t>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w:t>
      </w:r>
      <w:r w:rsidR="00C6030F" w:rsidRPr="0073389C">
        <w:rPr>
          <w:szCs w:val="19"/>
          <w:lang w:val="sk-SK"/>
        </w:rPr>
        <w:lastRenderedPageBreak/>
        <w:t xml:space="preserve">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w:t>
      </w:r>
      <w:r w:rsidR="00F576F7" w:rsidRPr="0073389C">
        <w:rPr>
          <w:rFonts w:cs="Arial"/>
          <w:szCs w:val="19"/>
          <w:lang w:val="sk-SK"/>
        </w:rPr>
        <w:lastRenderedPageBreak/>
        <w:t xml:space="preserve">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40636368"/>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40636369"/>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40636370"/>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40636371"/>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40636372"/>
      <w:r w:rsidRPr="0073389C">
        <w:rPr>
          <w:lang w:val="sk-SK"/>
        </w:rPr>
        <w:t>Všeobecné informácie</w:t>
      </w:r>
      <w:bookmarkEnd w:id="23"/>
      <w:bookmarkEnd w:id="24"/>
      <w:bookmarkEnd w:id="25"/>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40636373"/>
      <w:r w:rsidRPr="0073389C">
        <w:rPr>
          <w:lang w:val="sk-SK"/>
        </w:rPr>
        <w:t>Na čo nezabudnúť po podpise zmluvy</w:t>
      </w:r>
      <w:bookmarkEnd w:id="26"/>
      <w:bookmarkEnd w:id="27"/>
      <w:bookmarkEnd w:id="28"/>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40636374"/>
      <w:r w:rsidRPr="0073389C">
        <w:rPr>
          <w:lang w:val="sk-SK"/>
        </w:rPr>
        <w:t>Monitorovanie projektu</w:t>
      </w:r>
      <w:bookmarkEnd w:id="29"/>
      <w:bookmarkEnd w:id="30"/>
      <w:bookmarkEnd w:id="3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6DE9BEFB" w14:textId="24F003A3" w:rsidR="00594863" w:rsidRPr="0073389C" w:rsidRDefault="00594863" w:rsidP="00AE0D10">
      <w:pPr>
        <w:pStyle w:val="Bulletslevel1"/>
        <w:numPr>
          <w:ilvl w:val="0"/>
          <w:numId w:val="0"/>
        </w:numPr>
        <w:spacing w:after="120" w:line="288" w:lineRule="auto"/>
        <w:ind w:left="567"/>
        <w:jc w:val="both"/>
        <w:rPr>
          <w:szCs w:val="19"/>
          <w:lang w:val="sk-SK"/>
        </w:rPr>
      </w:pP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lastRenderedPageBreak/>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w:t>
      </w:r>
      <w:r w:rsidRPr="006B33FB">
        <w:rPr>
          <w:rFonts w:ascii="Arial" w:hAnsi="Arial"/>
          <w:color w:val="auto"/>
          <w:sz w:val="19"/>
          <w:lang w:val="sk-SK"/>
        </w:rPr>
        <w:lastRenderedPageBreak/>
        <w:t>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32" w:name="_Toc440372864"/>
      <w:bookmarkStart w:id="33"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2"/>
      <w:bookmarkEnd w:id="33"/>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4" w:name="_Toc440372865"/>
      <w:bookmarkStart w:id="35" w:name="_Toc440636376"/>
      <w:r w:rsidRPr="0073389C">
        <w:rPr>
          <w:lang w:val="sk-SK"/>
        </w:rPr>
        <w:lastRenderedPageBreak/>
        <w:t>Charakter zmien a spôsob posudzovania zmien</w:t>
      </w:r>
      <w:bookmarkEnd w:id="34"/>
      <w:bookmarkEnd w:id="35"/>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lastRenderedPageBreak/>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w:t>
      </w:r>
      <w:r w:rsidR="002E410E" w:rsidRPr="0073389C">
        <w:lastRenderedPageBreak/>
        <w:t xml:space="preserve">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6" w:name="_Toc410907854"/>
      <w:bookmarkStart w:id="37" w:name="_Toc440372866"/>
      <w:bookmarkStart w:id="38" w:name="_Toc440636377"/>
      <w:r w:rsidRPr="0073389C">
        <w:rPr>
          <w:lang w:val="sk-SK"/>
        </w:rPr>
        <w:t>Administrácia zmenového konania</w:t>
      </w:r>
      <w:bookmarkEnd w:id="36"/>
      <w:bookmarkEnd w:id="37"/>
      <w:bookmarkEnd w:id="38"/>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bookmarkStart w:id="39" w:name="_GoBack"/>
      <w:bookmarkEnd w:id="39"/>
      <w:r w:rsidRPr="0073389C">
        <w:t xml:space="preserve">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lastRenderedPageBreak/>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 xml:space="preserve">evidenciu majetku, záväzkov, príjmov a výdavkov týkajúcich sa projektu v účtovných knihách so slovným a číselným označením projektu pri zápisoch v nich, pričom na vedenie tejto evidencie, preukazovanie zápisov a spôsob oceňovania majetku a </w:t>
      </w:r>
      <w:r w:rsidRPr="0073389C">
        <w:rPr>
          <w:rFonts w:ascii="Arial" w:hAnsi="Arial" w:cs="Arial"/>
          <w:sz w:val="19"/>
          <w:szCs w:val="19"/>
          <w:lang w:val="sk-SK" w:eastAsia="en-AU"/>
        </w:rPr>
        <w:lastRenderedPageBreak/>
        <w:t>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w:t>
      </w:r>
      <w:r w:rsidRPr="00DD1EC0">
        <w:rPr>
          <w:rFonts w:cs="Arial"/>
          <w:szCs w:val="16"/>
        </w:rPr>
        <w:lastRenderedPageBreak/>
        <w:t xml:space="preserve">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lastRenderedPageBreak/>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 xml:space="preserve">čerpanie vytvorenej rezervy na nepredvídané výdavky sa neuskutočňuje priamo z tejto skupiny oprávnených výdavkov, ale vykoná sa presunom finančných prostriedkov do konkrétnej skupiny </w:t>
      </w:r>
      <w:r w:rsidRPr="0073389C">
        <w:lastRenderedPageBreak/>
        <w:t>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lastRenderedPageBreak/>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w:t>
      </w:r>
      <w:r w:rsidR="002D6509" w:rsidRPr="008F2822">
        <w:rPr>
          <w:sz w:val="18"/>
          <w:szCs w:val="18"/>
        </w:rPr>
        <w:lastRenderedPageBreak/>
        <w:t>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Default="00AE5A8F" w:rsidP="008D155B">
      <w:pPr>
        <w:pStyle w:val="Odsekzoznamu"/>
        <w:numPr>
          <w:ilvl w:val="0"/>
          <w:numId w:val="7"/>
        </w:numPr>
        <w:spacing w:before="120" w:after="120" w:line="288" w:lineRule="auto"/>
        <w:ind w:left="567" w:hanging="283"/>
        <w:contextualSpacing w:val="0"/>
        <w:jc w:val="both"/>
      </w:pPr>
      <w:r w:rsidRPr="0073389C">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14:paraId="045254C4" w14:textId="68F20284" w:rsidR="00866C54" w:rsidRPr="000064C7" w:rsidRDefault="00866C54" w:rsidP="00AE6793">
      <w:pPr>
        <w:pStyle w:val="Odsekzoznamu"/>
        <w:numPr>
          <w:ilvl w:val="0"/>
          <w:numId w:val="125"/>
        </w:numPr>
        <w:spacing w:before="120" w:after="120" w:line="288" w:lineRule="auto"/>
        <w:jc w:val="both"/>
      </w:pPr>
      <w:r w:rsidRPr="00AE6793">
        <w:t>ú</w:t>
      </w:r>
      <w:r w:rsidRPr="000064C7">
        <w:t>hrada preddavkovej platby, t.j.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14:paraId="658A9434" w14:textId="16523A73"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0"/>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14:paraId="10648727" w14:textId="24C40633"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14:paraId="7BA1AB19" w14:textId="31FF2C91" w:rsidR="00866C54" w:rsidRPr="000064C7" w:rsidRDefault="00866C54" w:rsidP="00AE6793">
      <w:pPr>
        <w:pStyle w:val="Odsekzoznamu"/>
        <w:numPr>
          <w:ilvl w:val="0"/>
          <w:numId w:val="125"/>
        </w:numPr>
        <w:spacing w:before="120" w:after="120" w:line="288" w:lineRule="auto"/>
        <w:jc w:val="both"/>
      </w:pPr>
      <w:r w:rsidRPr="00AE6793">
        <w:lastRenderedPageBreak/>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1"/>
      </w:r>
      <w:r w:rsidR="00877685">
        <w:t>,</w:t>
      </w:r>
    </w:p>
    <w:p w14:paraId="042DC650" w14:textId="255D9490"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14:paraId="6B1D91A6" w14:textId="6952CE9C"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r w:rsidR="003342EC">
        <w:t>PpP</w:t>
      </w:r>
      <w:r w:rsidR="00676BCF">
        <w:t xml:space="preserve"> č. 3.2 „Finančná k</w:t>
      </w:r>
      <w:r w:rsidR="00676BCF" w:rsidRPr="0073389C">
        <w:t>ontrola na mieste</w:t>
      </w:r>
      <w:r w:rsidR="00676BCF">
        <w:t>“</w:t>
      </w:r>
      <w:r w:rsidR="00866C54" w:rsidRPr="00867FF7">
        <w:t>;</w:t>
      </w:r>
    </w:p>
    <w:p w14:paraId="68697C0C" w14:textId="60BB991D" w:rsidR="00866C54" w:rsidRPr="000064C7" w:rsidRDefault="007F17A2" w:rsidP="00AE6793">
      <w:pPr>
        <w:pStyle w:val="Odsekzoznamu"/>
        <w:numPr>
          <w:ilvl w:val="0"/>
          <w:numId w:val="125"/>
        </w:numPr>
        <w:spacing w:before="120" w:after="120" w:line="288" w:lineRule="auto"/>
        <w:jc w:val="both"/>
      </w:pPr>
      <w:r w:rsidRPr="00AE6793">
        <w:t>v</w:t>
      </w:r>
      <w:r w:rsidR="00866C54" w:rsidRPr="000064C7">
        <w:t>ýdavok spĺňa všetky ostatné podmienky oprávnenosti výdavkov a zmluvy o poskytnutí NFP;</w:t>
      </w:r>
    </w:p>
    <w:p w14:paraId="7A55CF3B" w14:textId="799F30FF"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14:paraId="6091D1FA" w14:textId="2C073143" w:rsidR="00AD59C9" w:rsidRPr="000064C7" w:rsidRDefault="00AD59C9" w:rsidP="00AE6793">
      <w:pPr>
        <w:pStyle w:val="Odsekzoznamu"/>
        <w:numPr>
          <w:ilvl w:val="0"/>
          <w:numId w:val="125"/>
        </w:numPr>
        <w:spacing w:before="120" w:after="120" w:line="288" w:lineRule="auto"/>
        <w:jc w:val="both"/>
      </w:pPr>
      <w:r>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14:paraId="29B3B56D" w14:textId="7336BDA6"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2"/>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lastRenderedPageBreak/>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6"/>
      </w:r>
      <w:r w:rsidR="00694363" w:rsidRPr="0073389C">
        <w:t>),</w:t>
      </w:r>
      <w:r w:rsidRPr="0073389C">
        <w:t xml:space="preserve"> ako aj povinné odvody</w:t>
      </w:r>
      <w:r w:rsidRPr="0073389C">
        <w:rPr>
          <w:rStyle w:val="Odkaznapoznmkupodiarou"/>
          <w:sz w:val="19"/>
        </w:rPr>
        <w:footnoteReference w:id="2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9"/>
      </w:r>
      <w:r w:rsidRPr="0073389C">
        <w:t>), ako aj povinné odvody za zamestnávateľa</w:t>
      </w:r>
      <w:r w:rsidRPr="0073389C">
        <w:rPr>
          <w:rStyle w:val="Odkaznapoznmkupodiarou"/>
          <w:sz w:val="19"/>
        </w:rPr>
        <w:footnoteReference w:id="3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lastRenderedPageBreak/>
        <w:t>Odmeny</w:t>
      </w:r>
      <w:r w:rsidRPr="0073389C">
        <w:rPr>
          <w:rStyle w:val="Odkaznapoznmkupodiarou"/>
          <w:rFonts w:cs="Arial"/>
          <w:sz w:val="19"/>
          <w:szCs w:val="19"/>
          <w:lang w:val="sk-SK" w:eastAsia="en-US"/>
        </w:rPr>
        <w:footnoteReference w:id="3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3"/>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4"/>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5"/>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6"/>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 xml:space="preserve">V prípade stravného poskytnutého dodávateľsky (na faktúru) nesmie maximálna výška stravného v súlade so zásadou hospodárnosti presiahnuť limity podľa opatrenia Ministerstva práce, sociálnych vecí a rodiny </w:t>
      </w:r>
      <w:r w:rsidRPr="0073389C">
        <w:rPr>
          <w:rFonts w:ascii="Arial" w:hAnsi="Arial"/>
          <w:sz w:val="19"/>
          <w:szCs w:val="19"/>
          <w:lang w:val="sk-SK" w:eastAsia="en-US"/>
        </w:rPr>
        <w:lastRenderedPageBreak/>
        <w:t>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7"/>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8"/>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9"/>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0"/>
      </w:r>
      <w:r w:rsidRPr="00B13AD8">
        <w:rPr>
          <w:rFonts w:cs="Arial"/>
          <w:szCs w:val="19"/>
        </w:rPr>
        <w:t>, ktorá zahŕňa výdavky na ubytovanie, stravné a cestovné v SR</w:t>
      </w:r>
      <w:r w:rsidRPr="00B13AD8">
        <w:rPr>
          <w:rStyle w:val="Odkaznapoznmkupodiarou"/>
          <w:rFonts w:cs="Arial"/>
          <w:sz w:val="19"/>
          <w:szCs w:val="19"/>
        </w:rPr>
        <w:footnoteReference w:id="41"/>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2"/>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3"/>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w:t>
      </w:r>
      <w:r w:rsidRPr="0073389C">
        <w:lastRenderedPageBreak/>
        <w:t>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4"/>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5"/>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6"/>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7"/>
      </w:r>
      <w:r w:rsidRPr="004D0994">
        <w:t xml:space="preserve"> uvedenú v zákone o dani z </w:t>
      </w:r>
      <w:r w:rsidRPr="004D0994">
        <w:lastRenderedPageBreak/>
        <w:t xml:space="preserve">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8"/>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9"/>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0"/>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1"/>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2"/>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3"/>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4"/>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5"/>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6"/>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7"/>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8"/>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w:t>
      </w:r>
      <w:r w:rsidRPr="0073389C">
        <w:lastRenderedPageBreak/>
        <w:t xml:space="preserve">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0"/>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1"/>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2"/>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lastRenderedPageBreak/>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3"/>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4"/>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5"/>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6"/>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lastRenderedPageBreak/>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začatí realizácie projektu predkladá žiadosť o platbu (poskytnutie zálohovej platby) v zmysle podmienok zmluvy o NFP, a to maximálne do výšky 40 % z relevantnej časti rozpočtu projektu </w:t>
      </w:r>
      <w:r w:rsidRPr="0073389C">
        <w:lastRenderedPageBreak/>
        <w:t>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7"/>
      </w:r>
      <w:r w:rsidR="00AE5A8F" w:rsidRPr="0073389C">
        <w:t>:</w:t>
      </w:r>
    </w:p>
    <w:p w14:paraId="77F4A561" w14:textId="67D74C28" w:rsidR="006B7BE8" w:rsidRPr="00561705" w:rsidRDefault="006B7BE8" w:rsidP="006B7BE8">
      <w:pPr>
        <w:autoSpaceDE w:val="0"/>
        <w:autoSpaceDN w:val="0"/>
        <w:adjustRightInd w:val="0"/>
        <w:spacing w:before="120" w:after="120"/>
        <w:jc w:val="both"/>
        <w:rPr>
          <w:rFonts w:cs="Arial"/>
          <w:b/>
          <w:szCs w:val="16"/>
        </w:rPr>
      </w:pPr>
      <w:r>
        <w:rPr>
          <w:b/>
        </w:rPr>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598385FA"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systému predfinancovania</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w:t>
            </w:r>
            <w:r w:rsidRPr="0073389C">
              <w:lastRenderedPageBreak/>
              <w:t>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v určenej lehote, je riadiaci orgán z objektívnych dôvodov oprávnený rozhodnúť, že o sumu </w:t>
      </w:r>
      <w:r w:rsidRPr="0073389C">
        <w:lastRenderedPageBreak/>
        <w:t>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w:t>
      </w:r>
      <w:r w:rsidRPr="0073389C">
        <w:rPr>
          <w:rFonts w:ascii="Arial" w:hAnsi="Arial" w:cs="Arial"/>
          <w:sz w:val="19"/>
          <w:szCs w:val="19"/>
          <w:lang w:val="sk-SK"/>
        </w:rPr>
        <w:lastRenderedPageBreak/>
        <w:t>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8"/>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9"/>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1"/>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2"/>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3"/>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lastRenderedPageBreak/>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4"/>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w:t>
      </w:r>
      <w:r w:rsidRPr="0073389C">
        <w:rPr>
          <w:color w:val="000000"/>
          <w:lang w:eastAsia="cs-CZ"/>
        </w:rPr>
        <w:lastRenderedPageBreak/>
        <w:t xml:space="preserve">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lastRenderedPageBreak/>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6"/>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7"/>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8"/>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9"/>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0"/>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1"/>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2"/>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7"/>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w:t>
      </w:r>
      <w:r w:rsidRPr="0073389C">
        <w:rPr>
          <w:rFonts w:ascii="Arial" w:hAnsi="Arial" w:cs="Arial"/>
          <w:sz w:val="19"/>
          <w:szCs w:val="19"/>
          <w:lang w:val="sk-SK"/>
        </w:rPr>
        <w:lastRenderedPageBreak/>
        <w:t>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w:t>
      </w:r>
      <w:r w:rsidRPr="0073389C">
        <w:lastRenderedPageBreak/>
        <w:t xml:space="preserve">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lastRenderedPageBreak/>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lastRenderedPageBreak/>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lastRenderedPageBreak/>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738F16D2"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w:t>
      </w:r>
      <w:r w:rsidR="006451E8" w:rsidRPr="006451E8">
        <w:lastRenderedPageBreak/>
        <w:t>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lastRenderedPageBreak/>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1"/>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58BD398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14:paraId="13D0B168" w14:textId="28687B8D"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2"/>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2B4EE44E"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 xml:space="preserve">V prípade, ak prijímateľ dokumentáciu z VO plánuje predložiť v elektronickej podobe, sprievodný list, čestné vyhlásenia a podpísanú zmluvu s dodávateľom predloží v listinnej podobe. Minimálny rozsah </w:t>
      </w:r>
      <w:r w:rsidR="00E575D3" w:rsidRPr="00E575D3">
        <w:lastRenderedPageBreak/>
        <w:t>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13101994"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51D4D">
      <w:pPr>
        <w:pStyle w:val="Bulletslevel2"/>
        <w:numPr>
          <w:ilvl w:val="0"/>
          <w:numId w:val="84"/>
        </w:numPr>
        <w:jc w:val="both"/>
        <w:rPr>
          <w:rFonts w:cs="Arial"/>
          <w:lang w:val="sk-SK"/>
        </w:rPr>
      </w:pPr>
      <w:r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3"/>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C477FA">
        <w:rPr>
          <w:lang w:val="sk-SK"/>
        </w:rPr>
        <w:t xml:space="preserve">Typy </w:t>
      </w:r>
      <w:r w:rsidRPr="0073389C">
        <w:rPr>
          <w:lang w:val="sk-SK"/>
        </w:rPr>
        <w:t>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271947DC" w14:textId="02E62B61"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14:paraId="0FE68191" w14:textId="531AD0EC"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14:paraId="2A44826F" w14:textId="6163A0F1"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 xml:space="preserve">a doručenie doplnenia/ </w:t>
      </w:r>
      <w:r w:rsidR="00C20764" w:rsidRPr="00C20764">
        <w:rPr>
          <w:rFonts w:cs="Arial"/>
          <w:szCs w:val="19"/>
        </w:rPr>
        <w:lastRenderedPageBreak/>
        <w:t>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275CCA8F" w:rsidR="007B2419" w:rsidRPr="007B2419" w:rsidRDefault="007B2419" w:rsidP="007B2419">
      <w:pPr>
        <w:spacing w:before="120" w:after="120" w:line="288" w:lineRule="auto"/>
        <w:jc w:val="both"/>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14:paraId="00489163" w14:textId="4AF31F30"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14:paraId="7AFE249B" w14:textId="28E77AF6" w:rsidR="007B2419" w:rsidRPr="007B2419" w:rsidRDefault="007B2419" w:rsidP="007B2419">
      <w:pPr>
        <w:spacing w:before="120" w:after="120" w:line="288" w:lineRule="auto"/>
        <w:jc w:val="both"/>
      </w:pPr>
      <w:r w:rsidRPr="007B2419">
        <w:lastRenderedPageBreak/>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Pr="003E07AA">
        <w:rPr>
          <w:rFonts w:ascii="Arial" w:hAnsi="Arial" w:cs="Arial"/>
          <w:color w:val="auto"/>
          <w:sz w:val="19"/>
          <w:szCs w:val="19"/>
          <w:lang w:val="sk-SK"/>
        </w:rPr>
        <w:lastRenderedPageBreak/>
        <w:t>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5"/>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prestáva plynúť lehota na výkon kontroly VO. Dňom nasledujúcim po dni doručenia vysvetlenia alebo doplnenia dokumentácie poskytovateľovi </w:t>
      </w:r>
      <w:r w:rsidRPr="00E70656">
        <w:rPr>
          <w:rFonts w:cs="Arial"/>
          <w:szCs w:val="19"/>
        </w:rPr>
        <w:lastRenderedPageBreak/>
        <w:t>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6"/>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lastRenderedPageBreak/>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64A958BC"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7"/>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lastRenderedPageBreak/>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w:t>
      </w:r>
      <w:r w:rsidRPr="00A553F1">
        <w:rPr>
          <w:lang w:eastAsia="x-none"/>
        </w:rPr>
        <w:lastRenderedPageBreak/>
        <w:t>(kópia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w:t>
      </w:r>
      <w:r w:rsidRPr="004A1434">
        <w:rPr>
          <w:rFonts w:cs="Arial"/>
          <w:szCs w:val="19"/>
        </w:rPr>
        <w:lastRenderedPageBreak/>
        <w:t xml:space="preserve">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lastRenderedPageBreak/>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lastRenderedPageBreak/>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B51B0A" w14:textId="77777777" w:rsidR="008F2958" w:rsidRPr="008F2958" w:rsidRDefault="008F2958" w:rsidP="008F2958">
      <w:pPr>
        <w:tabs>
          <w:tab w:val="left" w:pos="1014"/>
        </w:tabs>
        <w:spacing w:before="120" w:after="120" w:line="288" w:lineRule="auto"/>
        <w:jc w:val="both"/>
      </w:pPr>
      <w:r w:rsidRPr="008F2958">
        <w:t>Prijímateľ predkladá čiastkové zmluvy uzavreté na základe rámcovej dohody realizovanej podľa zákona č. 25/2006 Z.z. na kontrolu podľa Príručky pre verejné obstarávanie verzie 1.4. Čiastkové zmluvy uzavreté na základe rámcovej dohody realizovanej podľa zákona č. 343/2015 Z.z. predkladá prijímateľ na kontrolu podľa Príručky pre verejné obstarávanie verzie 1.5. a nasledovných.</w:t>
      </w:r>
    </w:p>
    <w:p w14:paraId="6DDB5953" w14:textId="0E342AE8" w:rsidR="008F2958" w:rsidRPr="008F2958" w:rsidRDefault="008F2958" w:rsidP="00151D4D">
      <w:pPr>
        <w:numPr>
          <w:ilvl w:val="0"/>
          <w:numId w:val="102"/>
        </w:numPr>
        <w:tabs>
          <w:tab w:val="left" w:pos="1014"/>
        </w:tabs>
        <w:spacing w:line="288" w:lineRule="auto"/>
        <w:jc w:val="both"/>
      </w:pPr>
      <w:r w:rsidRPr="008F2958">
        <w:t>Poskytovateľ vykonáva kontrolu čiastkových zmlúv ako:</w:t>
      </w:r>
      <w:r>
        <w:t xml:space="preserve"> </w:t>
      </w:r>
      <w:r w:rsidRPr="008F2958">
        <w:t>druhú ex-ante kontrolu,</w:t>
      </w:r>
    </w:p>
    <w:p w14:paraId="12FEA763" w14:textId="77777777" w:rsidR="008F2958" w:rsidRPr="008F2958" w:rsidRDefault="008F2958" w:rsidP="00151D4D">
      <w:pPr>
        <w:numPr>
          <w:ilvl w:val="0"/>
          <w:numId w:val="102"/>
        </w:numPr>
        <w:tabs>
          <w:tab w:val="left" w:pos="1014"/>
        </w:tabs>
        <w:spacing w:line="288" w:lineRule="auto"/>
        <w:jc w:val="both"/>
      </w:pPr>
      <w:r w:rsidRPr="008F2958">
        <w:t>následnú ex-post kontrolu alebo</w:t>
      </w:r>
    </w:p>
    <w:p w14:paraId="4E683989" w14:textId="77777777" w:rsidR="008F2958" w:rsidRPr="008F2958" w:rsidRDefault="008F2958" w:rsidP="00151D4D">
      <w:pPr>
        <w:numPr>
          <w:ilvl w:val="0"/>
          <w:numId w:val="102"/>
        </w:numPr>
        <w:tabs>
          <w:tab w:val="left" w:pos="1014"/>
        </w:tabs>
        <w:spacing w:line="288" w:lineRule="auto"/>
        <w:jc w:val="both"/>
      </w:pPr>
      <w:r w:rsidRPr="008F2958">
        <w:t>štandardnú ex-post kontrolu.</w:t>
      </w:r>
    </w:p>
    <w:p w14:paraId="2DE2853F" w14:textId="77777777" w:rsidR="008F2958" w:rsidRDefault="008F2958" w:rsidP="007D11DA">
      <w:pPr>
        <w:tabs>
          <w:tab w:val="left" w:pos="1014"/>
        </w:tabs>
        <w:spacing w:before="120" w:after="120" w:line="288" w:lineRule="auto"/>
        <w:jc w:val="both"/>
      </w:pP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151D4D">
      <w:pPr>
        <w:pStyle w:val="Odsekzoznamu"/>
        <w:numPr>
          <w:ilvl w:val="0"/>
          <w:numId w:val="90"/>
        </w:numPr>
        <w:spacing w:before="120" w:after="120" w:line="288" w:lineRule="auto"/>
        <w:jc w:val="both"/>
        <w:rPr>
          <w:b/>
        </w:rPr>
      </w:pPr>
      <w:r w:rsidRPr="00697E52">
        <w:rPr>
          <w:b/>
        </w:rPr>
        <w:t>Uzavreté rámcové dohody</w:t>
      </w:r>
    </w:p>
    <w:p w14:paraId="388CBB57" w14:textId="77777777" w:rsidR="007D11DA" w:rsidRDefault="007D11DA" w:rsidP="007D11DA">
      <w:pPr>
        <w:tabs>
          <w:tab w:val="left" w:pos="1014"/>
        </w:tabs>
        <w:spacing w:before="120" w:after="120" w:line="288" w:lineRule="auto"/>
        <w:jc w:val="both"/>
        <w:rPr>
          <w:b/>
        </w:rPr>
      </w:pPr>
    </w:p>
    <w:p w14:paraId="09FBC33D" w14:textId="4FBE22B3"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lastRenderedPageBreak/>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9A73D59" w14:textId="77777777" w:rsidR="007D11DA" w:rsidRDefault="007D11DA" w:rsidP="007D11DA">
      <w:pPr>
        <w:tabs>
          <w:tab w:val="left" w:pos="1014"/>
        </w:tabs>
        <w:spacing w:before="120" w:after="120" w:line="288" w:lineRule="auto"/>
        <w:jc w:val="both"/>
      </w:pPr>
    </w:p>
    <w:p w14:paraId="7FE9586B" w14:textId="4C461746"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14:paraId="35F1FFF3" w14:textId="77777777" w:rsidR="007D11DA" w:rsidRDefault="007D11DA" w:rsidP="007D11DA">
      <w:pPr>
        <w:tabs>
          <w:tab w:val="left" w:pos="1014"/>
        </w:tabs>
        <w:spacing w:before="120" w:after="120" w:line="288" w:lineRule="auto"/>
        <w:jc w:val="both"/>
      </w:pP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4B4F0268" w14:textId="77777777" w:rsidR="007D11DA" w:rsidRDefault="007D11DA" w:rsidP="007D11DA">
      <w:pPr>
        <w:tabs>
          <w:tab w:val="left" w:pos="1014"/>
        </w:tabs>
        <w:spacing w:before="120" w:after="120" w:line="288" w:lineRule="auto"/>
        <w:jc w:val="both"/>
      </w:pP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7D11DA">
      <w:pPr>
        <w:tabs>
          <w:tab w:val="left" w:pos="1014"/>
        </w:tabs>
        <w:spacing w:before="120" w:after="120" w:line="288" w:lineRule="auto"/>
        <w:jc w:val="both"/>
      </w:pPr>
      <w:r w:rsidRPr="00164E19">
        <w:rPr>
          <w:b/>
        </w:rPr>
        <w:lastRenderedPageBreak/>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14:paraId="419AABE6" w14:textId="77777777" w:rsidR="007D11DA" w:rsidRDefault="007D11DA" w:rsidP="007D11DA">
      <w:pPr>
        <w:tabs>
          <w:tab w:val="left" w:pos="1014"/>
        </w:tabs>
        <w:spacing w:before="120" w:after="120" w:line="288" w:lineRule="auto"/>
        <w:jc w:val="both"/>
      </w:pP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w:t>
      </w:r>
      <w:r w:rsidRPr="00963E0D">
        <w:rPr>
          <w:rFonts w:cs="Arial"/>
          <w:szCs w:val="19"/>
        </w:rPr>
        <w:lastRenderedPageBreak/>
        <w:t xml:space="preserve">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3FC3AF08" w14:textId="77777777"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 xml:space="preserve">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w:t>
      </w:r>
      <w:r w:rsidR="008D1C11" w:rsidRPr="008D1C11">
        <w:rPr>
          <w:rFonts w:cs="Arial"/>
          <w:szCs w:val="19"/>
        </w:rPr>
        <w:lastRenderedPageBreak/>
        <w:t>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1"/>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lastRenderedPageBreak/>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w:t>
      </w:r>
      <w:r w:rsidRPr="004B129C">
        <w:rPr>
          <w:rFonts w:cs="Arial"/>
          <w:szCs w:val="19"/>
        </w:rPr>
        <w:lastRenderedPageBreak/>
        <w:t xml:space="preserve">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07E96980"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w:t>
      </w:r>
      <w:r w:rsidRPr="0073389C">
        <w:rPr>
          <w:rFonts w:cs="Arial"/>
          <w:szCs w:val="19"/>
        </w:rPr>
        <w:lastRenderedPageBreak/>
        <w:t xml:space="preserve">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2330F4F4"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lastRenderedPageBreak/>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lastRenderedPageBreak/>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5A1D7B2E"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 xml:space="preserve">Zároveň, ak napriek čestnému vyhláseniu prijímateľa poskytovateľ identifikuje, že dokumentácia nie je kompletná a pre riadne ukončenie </w:t>
      </w:r>
      <w:r w:rsidRPr="00703E20">
        <w:rPr>
          <w:rFonts w:cs="Arial"/>
          <w:szCs w:val="19"/>
          <w:lang w:eastAsia="x-none"/>
        </w:rPr>
        <w:lastRenderedPageBreak/>
        <w:t>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380B6B9A"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7E773D2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7"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w:t>
      </w:r>
      <w:r w:rsidRPr="0073389C">
        <w:lastRenderedPageBreak/>
        <w:t xml:space="preserve">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F2C9E3F"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lastRenderedPageBreak/>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lastRenderedPageBreak/>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w:t>
      </w:r>
      <w:r w:rsidRPr="0073389C">
        <w:rPr>
          <w:color w:val="000000"/>
        </w:rPr>
        <w:lastRenderedPageBreak/>
        <w:t xml:space="preserve">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Upozorňujeme prijímateľa, že posudzovanie konfliktu záujmov bude v rámci kontroly VO spojené s procesom určovania finančných opráv, resp. s dôsledkom vylúčenia dotknutého VO z financovania v plnom </w:t>
      </w:r>
      <w:r w:rsidRPr="0073389C">
        <w:rPr>
          <w:color w:val="000000"/>
        </w:rPr>
        <w:lastRenderedPageBreak/>
        <w:t>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2"/>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3"/>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4"/>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5"/>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w:t>
            </w:r>
            <w:r w:rsidRPr="0073389C">
              <w:lastRenderedPageBreak/>
              <w:t xml:space="preserve">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indikuje možnosť, že dodávateľ odmieta zaplatiť </w:t>
            </w:r>
            <w:r w:rsidRPr="0073389C">
              <w:lastRenderedPageBreak/>
              <w:t>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lastRenderedPageBreak/>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6"/>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w:t>
      </w:r>
      <w:r w:rsidRPr="0073389C">
        <w:lastRenderedPageBreak/>
        <w:t xml:space="preserve">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w:t>
      </w:r>
      <w:r w:rsidRPr="00624A78">
        <w:rPr>
          <w:rFonts w:eastAsia="Times" w:cs="Arial"/>
          <w:szCs w:val="19"/>
          <w:lang w:eastAsia="sk-SK"/>
        </w:rPr>
        <w:lastRenderedPageBreak/>
        <w:t>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w:t>
      </w:r>
      <w:r w:rsidR="009D7F63" w:rsidRPr="0073389C">
        <w:rPr>
          <w:rFonts w:cs="Arial"/>
          <w:szCs w:val="19"/>
          <w:lang w:val="sk-SK"/>
        </w:rPr>
        <w:lastRenderedPageBreak/>
        <w:t xml:space="preserve">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F54541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lastRenderedPageBreak/>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68C4C742" w14:textId="268D41BE" w:rsidR="00200264" w:rsidRDefault="00200264" w:rsidP="002244BF">
      <w:pPr>
        <w:pStyle w:val="Textkomentra"/>
        <w:numPr>
          <w:ilvl w:val="0"/>
          <w:numId w:val="95"/>
        </w:numPr>
        <w:rPr>
          <w:lang w:val="sk-SK"/>
        </w:rPr>
      </w:pPr>
      <w:r>
        <w:rPr>
          <w:lang w:val="sk-SK"/>
        </w:rPr>
        <w:t>Prevodník obstaraných položiek k rozpočtu projektu</w:t>
      </w: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E20D2" w14:textId="77777777" w:rsidR="00987173" w:rsidRDefault="00987173">
      <w:r>
        <w:separator/>
      </w:r>
    </w:p>
    <w:p w14:paraId="28DDDEF3" w14:textId="77777777" w:rsidR="00987173" w:rsidRDefault="00987173"/>
  </w:endnote>
  <w:endnote w:type="continuationSeparator" w:id="0">
    <w:p w14:paraId="4D0F21C6" w14:textId="77777777" w:rsidR="00987173" w:rsidRDefault="00987173">
      <w:r>
        <w:continuationSeparator/>
      </w:r>
    </w:p>
    <w:p w14:paraId="588F8A56" w14:textId="77777777" w:rsidR="00987173" w:rsidRDefault="00987173"/>
  </w:endnote>
  <w:endnote w:type="continuationNotice" w:id="1">
    <w:p w14:paraId="3DD07182" w14:textId="77777777" w:rsidR="00987173" w:rsidRDefault="00987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9B14EA" w:rsidRDefault="009B14E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9B14EA" w:rsidRDefault="009B14EA">
    <w:pPr>
      <w:pStyle w:val="Pta"/>
      <w:jc w:val="right"/>
    </w:pPr>
    <w:r>
      <w:fldChar w:fldCharType="begin"/>
    </w:r>
    <w:r>
      <w:instrText xml:space="preserve"> PAGE   \* MERGEFORMAT </w:instrText>
    </w:r>
    <w:r>
      <w:fldChar w:fldCharType="separate"/>
    </w:r>
    <w:r w:rsidR="00507FC9">
      <w:rPr>
        <w:noProof/>
      </w:rPr>
      <w:t>26</w:t>
    </w:r>
    <w:r>
      <w:rPr>
        <w:noProof/>
      </w:rPr>
      <w:fldChar w:fldCharType="end"/>
    </w:r>
  </w:p>
  <w:p w14:paraId="5596B515" w14:textId="77777777" w:rsidR="009B14EA" w:rsidRPr="003530AF" w:rsidRDefault="009B14EA"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9B14EA" w:rsidRDefault="009B14EA">
        <w:pPr>
          <w:pStyle w:val="Pta"/>
          <w:jc w:val="right"/>
        </w:pPr>
        <w:r>
          <w:fldChar w:fldCharType="begin"/>
        </w:r>
        <w:r>
          <w:instrText>PAGE   \* MERGEFORMAT</w:instrText>
        </w:r>
        <w:r>
          <w:fldChar w:fldCharType="separate"/>
        </w:r>
        <w:r w:rsidR="00507FC9" w:rsidRPr="00507FC9">
          <w:rPr>
            <w:noProof/>
            <w:lang w:val="sk-SK"/>
          </w:rPr>
          <w:t>1</w:t>
        </w:r>
        <w:r>
          <w:fldChar w:fldCharType="end"/>
        </w:r>
      </w:p>
    </w:sdtContent>
  </w:sdt>
  <w:p w14:paraId="3B48FDCA" w14:textId="77777777" w:rsidR="009B14EA" w:rsidRDefault="009B14E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6D6F6" w14:textId="77777777" w:rsidR="00987173" w:rsidRDefault="00987173">
      <w:r>
        <w:separator/>
      </w:r>
    </w:p>
    <w:p w14:paraId="3011530A" w14:textId="77777777" w:rsidR="00987173" w:rsidRDefault="00987173"/>
  </w:footnote>
  <w:footnote w:type="continuationSeparator" w:id="0">
    <w:p w14:paraId="05301659" w14:textId="77777777" w:rsidR="00987173" w:rsidRDefault="00987173">
      <w:r>
        <w:continuationSeparator/>
      </w:r>
    </w:p>
    <w:p w14:paraId="20D6112D" w14:textId="77777777" w:rsidR="00987173" w:rsidRDefault="00987173"/>
  </w:footnote>
  <w:footnote w:type="continuationNotice" w:id="1">
    <w:p w14:paraId="587735BC" w14:textId="77777777" w:rsidR="00987173" w:rsidRDefault="00987173"/>
  </w:footnote>
  <w:footnote w:id="2">
    <w:p w14:paraId="7A55D546" w14:textId="77777777" w:rsidR="009B14EA" w:rsidRPr="009D7F63" w:rsidRDefault="009B14EA"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9B14EA" w:rsidRPr="009D7F63" w:rsidRDefault="009B14EA"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9B14EA" w:rsidRPr="009D7F63" w:rsidRDefault="009B14EA"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9B14EA" w:rsidRPr="00587015" w:rsidRDefault="009B14EA"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9B14EA" w:rsidRPr="009D7F63" w:rsidRDefault="009B14EA"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9B14EA" w:rsidRPr="00E25071" w:rsidRDefault="009B14EA"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9B14EA" w:rsidRPr="009D7F63" w:rsidRDefault="009B14EA"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9B14EA" w:rsidRPr="009D7F63" w:rsidRDefault="009B14EA">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9B14EA" w:rsidRPr="007D7535" w:rsidRDefault="009B14EA"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9B14EA" w:rsidRPr="009D7F63" w:rsidRDefault="009B14EA"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9B14EA" w:rsidRPr="009D7F63" w:rsidRDefault="009B14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9B14EA" w:rsidRPr="009D7F63" w:rsidRDefault="009B14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9B14EA" w:rsidRPr="009D7F63" w:rsidRDefault="009B14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9B14EA" w:rsidRPr="009D7F63" w:rsidRDefault="009B14EA"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9B14EA" w:rsidRPr="009D7F63" w:rsidRDefault="009B14EA"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9B14EA" w:rsidRPr="009D7F63" w:rsidRDefault="009B14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9B14EA" w:rsidRPr="009D7F63" w:rsidRDefault="009B14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9B14EA" w:rsidRPr="009D7F63" w:rsidRDefault="009B14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9B14EA" w:rsidRPr="00041D2E" w:rsidRDefault="009B14EA" w:rsidP="00041D2E">
      <w:pPr>
        <w:pStyle w:val="Textpoznmkypodiarou"/>
        <w:rPr>
          <w:lang w:val="sk-SK"/>
        </w:rPr>
      </w:pPr>
      <w:r w:rsidRPr="009D7F63">
        <w:rPr>
          <w:rFonts w:cs="Arial"/>
          <w:szCs w:val="16"/>
          <w:lang w:val="sk-SK" w:eastAsia="cs-CZ"/>
        </w:rPr>
        <w:t>4. pohonné hmoty.</w:t>
      </w:r>
    </w:p>
  </w:footnote>
  <w:footnote w:id="13">
    <w:p w14:paraId="7A55D551" w14:textId="77777777" w:rsidR="009B14EA" w:rsidRPr="009D7F63" w:rsidRDefault="009B14EA"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9B14EA" w:rsidRPr="009D7F63" w:rsidRDefault="009B14EA"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9B14EA" w:rsidRPr="009D7F63" w:rsidRDefault="009B14EA"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9B14EA" w:rsidRDefault="009B14EA"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9B14EA" w:rsidRPr="009D7F63" w:rsidRDefault="009B14EA">
      <w:pPr>
        <w:pStyle w:val="Textpoznmkypodiarou"/>
        <w:rPr>
          <w:rFonts w:cs="Arial"/>
          <w:szCs w:val="16"/>
          <w:lang w:val="sk-SK"/>
        </w:rPr>
      </w:pPr>
    </w:p>
  </w:footnote>
  <w:footnote w:id="17">
    <w:p w14:paraId="7A55D555" w14:textId="77777777" w:rsidR="009B14EA" w:rsidRPr="009D7F63" w:rsidRDefault="009B14EA"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9B14EA" w:rsidRPr="006E4CC8" w:rsidRDefault="009B14EA"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9B14EA" w:rsidRPr="007F7349" w:rsidRDefault="009B14EA"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9B14EA" w:rsidRPr="007F7349" w:rsidRDefault="009B14EA"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9B14EA" w:rsidRPr="007F7349" w:rsidRDefault="009B14EA"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9B14EA" w:rsidRPr="00F41F62" w:rsidRDefault="009B14EA"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9B14EA" w:rsidRPr="009D7F63" w:rsidRDefault="009B14EA"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7E1B0128" w14:textId="77777777" w:rsidR="009B14EA" w:rsidRDefault="009B14EA"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1">
    <w:p w14:paraId="6D0863AC" w14:textId="77777777" w:rsidR="009B14EA" w:rsidRDefault="009B14EA"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2">
    <w:p w14:paraId="4FEE481D" w14:textId="479E076B" w:rsidR="009B14EA" w:rsidRPr="004F28ED" w:rsidRDefault="009B14EA">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3">
    <w:p w14:paraId="3B927676" w14:textId="0B338479" w:rsidR="009B14EA" w:rsidRPr="00965E93" w:rsidRDefault="009B14EA"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4">
    <w:p w14:paraId="7A55D557" w14:textId="52DFEF6A" w:rsidR="009B14EA" w:rsidRPr="009D7F63" w:rsidRDefault="009B14EA"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5">
    <w:p w14:paraId="7A55D558" w14:textId="77777777" w:rsidR="009B14EA" w:rsidRPr="009D7F63" w:rsidRDefault="009B14EA"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6">
    <w:p w14:paraId="17C29017" w14:textId="77777777" w:rsidR="009B14EA" w:rsidRPr="009D7F63" w:rsidRDefault="009B14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7">
    <w:p w14:paraId="7A55D559" w14:textId="77777777" w:rsidR="009B14EA" w:rsidRPr="009D7F63" w:rsidRDefault="009B14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9B14EA" w:rsidRPr="009D7F63" w:rsidRDefault="009B14EA"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8">
    <w:p w14:paraId="7A55D55B" w14:textId="77777777" w:rsidR="009B14EA" w:rsidRPr="009D7F63" w:rsidRDefault="009B14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14:paraId="7A55D55C" w14:textId="77777777" w:rsidR="009B14EA" w:rsidRPr="009D7F63" w:rsidRDefault="009B14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14:paraId="7A55D55D" w14:textId="77777777" w:rsidR="009B14EA" w:rsidRPr="009D7F63" w:rsidRDefault="009B14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9B14EA" w:rsidRPr="009D7F63" w:rsidRDefault="009B14EA"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14:paraId="7A55D55F" w14:textId="333E477A" w:rsidR="009B14EA" w:rsidRPr="00062F88" w:rsidRDefault="009B14EA"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2">
    <w:p w14:paraId="02F4C726" w14:textId="77777777" w:rsidR="009B14EA" w:rsidRDefault="009B14EA" w:rsidP="009B4AEF">
      <w:pPr>
        <w:pStyle w:val="Textpoznmkypodiarou"/>
        <w:jc w:val="both"/>
      </w:pPr>
      <w:r>
        <w:rPr>
          <w:rStyle w:val="Odkaznapoznmkupodiarou"/>
        </w:rPr>
        <w:footnoteRef/>
      </w:r>
      <w:r>
        <w:t xml:space="preserve"> Priznanie odmeny príslušnému zamestnancovi musí byť náležite zdôvodnené.</w:t>
      </w:r>
    </w:p>
  </w:footnote>
  <w:footnote w:id="33">
    <w:p w14:paraId="0388B3E2" w14:textId="4D28868F" w:rsidR="009B14EA" w:rsidRDefault="009B14EA"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4">
    <w:p w14:paraId="2E6985A0" w14:textId="77777777" w:rsidR="009B14EA" w:rsidRDefault="009B14EA"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5">
    <w:p w14:paraId="7A55D560" w14:textId="5738DA04" w:rsidR="009B14EA" w:rsidRPr="00027286" w:rsidRDefault="009B14EA"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6">
    <w:p w14:paraId="15B0D0EB" w14:textId="3E15725B" w:rsidR="009B14EA" w:rsidRPr="00AF0A84" w:rsidRDefault="009B14EA">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7">
    <w:p w14:paraId="7A55D564" w14:textId="77777777" w:rsidR="009B14EA" w:rsidRPr="009D7F63" w:rsidRDefault="009B14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8">
    <w:p w14:paraId="6A48E5FC" w14:textId="67F6A6F7" w:rsidR="009B14EA" w:rsidRPr="00B275B2" w:rsidRDefault="009B14EA"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9">
    <w:p w14:paraId="75442DCC"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0">
    <w:p w14:paraId="539DE3AB"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1">
    <w:p w14:paraId="6B33FB00"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2">
    <w:p w14:paraId="44310DB6"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3">
    <w:p w14:paraId="28E7C95F" w14:textId="0B437969"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4">
    <w:p w14:paraId="250CEFBD" w14:textId="33B32087" w:rsidR="009B14EA" w:rsidRPr="00923BC1" w:rsidRDefault="009B14EA"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5">
    <w:p w14:paraId="414F1A43" w14:textId="265724BA" w:rsidR="009B14EA" w:rsidRPr="00772F95" w:rsidRDefault="009B14EA"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6">
    <w:p w14:paraId="0C4735BA" w14:textId="1928CC24" w:rsidR="009B14EA" w:rsidRPr="008A522F" w:rsidRDefault="009B14EA"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7">
    <w:p w14:paraId="038A96C2" w14:textId="13120178" w:rsidR="009B14EA" w:rsidRPr="00CE0C11" w:rsidRDefault="009B14EA"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8">
    <w:p w14:paraId="59C496F8" w14:textId="77777777" w:rsidR="009B14EA" w:rsidRPr="00621D47" w:rsidRDefault="009B14EA"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9">
    <w:p w14:paraId="70BE8EFD" w14:textId="4D3737B4" w:rsidR="009B14EA" w:rsidRPr="00391F1C" w:rsidRDefault="009B14EA"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0">
    <w:p w14:paraId="7A55D567" w14:textId="77777777" w:rsidR="009B14EA" w:rsidRPr="009D7F63" w:rsidRDefault="009B14EA"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1">
    <w:p w14:paraId="7A55D568" w14:textId="77777777" w:rsidR="009B14EA" w:rsidRPr="009D7F63" w:rsidRDefault="009B14EA"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2">
    <w:p w14:paraId="7A55D569" w14:textId="77777777" w:rsidR="009B14EA" w:rsidRPr="009D7F63" w:rsidRDefault="009B14EA"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3">
    <w:p w14:paraId="7A55D56A" w14:textId="77777777" w:rsidR="009B14EA" w:rsidRPr="009D7F63" w:rsidRDefault="009B14EA"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4">
    <w:p w14:paraId="7A55D56B" w14:textId="77777777" w:rsidR="009B14EA" w:rsidRPr="009D7F63" w:rsidRDefault="009B14EA"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5">
    <w:p w14:paraId="7A55D56E" w14:textId="416A13B1" w:rsidR="009B14EA" w:rsidRPr="009D7F63" w:rsidRDefault="009B14EA"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6">
    <w:p w14:paraId="7DAB27E8" w14:textId="77777777" w:rsidR="009B14EA" w:rsidRPr="00405EED" w:rsidRDefault="009B14EA"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7">
    <w:p w14:paraId="7A55D570" w14:textId="36F68E99" w:rsidR="009B14EA" w:rsidRPr="009D7F63" w:rsidRDefault="009B14EA"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8">
    <w:p w14:paraId="7A55D571" w14:textId="77777777" w:rsidR="009B14EA" w:rsidRPr="009D7F63" w:rsidRDefault="009B14EA"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9">
    <w:p w14:paraId="7A55D573" w14:textId="77777777" w:rsidR="009B14EA" w:rsidRPr="009D7F63" w:rsidRDefault="009B14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0">
    <w:p w14:paraId="7A55D574" w14:textId="77777777" w:rsidR="009B14EA" w:rsidRPr="009D7F63" w:rsidRDefault="009B14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1">
    <w:p w14:paraId="7A55D575" w14:textId="2BC95C86" w:rsidR="009B14EA" w:rsidRPr="009D7F63" w:rsidRDefault="009B14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2">
    <w:p w14:paraId="7A55D578" w14:textId="77777777" w:rsidR="009B14EA" w:rsidRPr="009D7F63" w:rsidRDefault="009B14EA"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3">
    <w:p w14:paraId="4F8F3C8B" w14:textId="77777777" w:rsidR="009B14EA" w:rsidRPr="009D7F63" w:rsidRDefault="009B14EA"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4">
    <w:p w14:paraId="451277DD" w14:textId="77777777" w:rsidR="009B14EA" w:rsidRPr="009D7F63" w:rsidRDefault="009B14EA"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5">
    <w:p w14:paraId="7A55D579" w14:textId="67088258" w:rsidR="009B14EA" w:rsidRPr="009D7F63" w:rsidRDefault="009B14EA"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6">
    <w:p w14:paraId="45573155" w14:textId="14B40576" w:rsidR="009B14EA" w:rsidRPr="001A7C8D" w:rsidRDefault="009B14EA">
      <w:pPr>
        <w:pStyle w:val="Textpoznmkypodiarou"/>
        <w:rPr>
          <w:lang w:val="sk-SK"/>
        </w:rPr>
      </w:pPr>
      <w:r>
        <w:rPr>
          <w:rStyle w:val="Odkaznapoznmkupodiarou"/>
        </w:rPr>
        <w:footnoteRef/>
      </w:r>
      <w:r>
        <w:t xml:space="preserve"> V zmysle ustanovenia § 22 ods. 2 zákona o finančnej kontrole</w:t>
      </w:r>
    </w:p>
  </w:footnote>
  <w:footnote w:id="67">
    <w:p w14:paraId="7A55D57A" w14:textId="77777777" w:rsidR="009B14EA" w:rsidRPr="009D7F63" w:rsidRDefault="009B14EA"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9B14EA" w:rsidRPr="009D7F63" w:rsidRDefault="009B14EA">
      <w:pPr>
        <w:pStyle w:val="Textpoznmkypodiarou"/>
        <w:rPr>
          <w:rFonts w:cs="Arial"/>
          <w:szCs w:val="16"/>
          <w:lang w:val="sk-SK"/>
        </w:rPr>
      </w:pPr>
    </w:p>
  </w:footnote>
  <w:footnote w:id="68">
    <w:p w14:paraId="7A55D57C" w14:textId="77777777" w:rsidR="009B14EA" w:rsidRPr="009D7F63" w:rsidRDefault="009B14EA"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9">
    <w:p w14:paraId="7A55D57D" w14:textId="77777777" w:rsidR="009B14EA" w:rsidRPr="009D7F63" w:rsidRDefault="009B14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0">
    <w:p w14:paraId="7A55D57E" w14:textId="77777777" w:rsidR="009B14EA" w:rsidRPr="009D7F63" w:rsidRDefault="009B14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1">
    <w:p w14:paraId="7A55D57F" w14:textId="77777777" w:rsidR="009B14EA" w:rsidRPr="009D7F63" w:rsidRDefault="009B14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2">
    <w:p w14:paraId="7A55D580" w14:textId="77777777" w:rsidR="009B14EA" w:rsidRPr="009D7F63" w:rsidRDefault="009B14EA"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3">
    <w:p w14:paraId="7A55D581" w14:textId="77777777"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4">
    <w:p w14:paraId="7A55D582" w14:textId="77777777" w:rsidR="009B14EA" w:rsidRPr="009D7F63" w:rsidRDefault="009B14EA"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5">
    <w:p w14:paraId="7A55D583" w14:textId="052EABFD" w:rsidR="009B14EA" w:rsidRPr="009D7F63" w:rsidRDefault="009B14EA"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9B14EA" w:rsidRPr="009D7F63" w:rsidRDefault="009B14EA"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9B14EA" w:rsidRPr="009D7F63" w:rsidRDefault="009B14EA"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9B14EA" w:rsidRPr="002D4DD9" w:rsidRDefault="009B14EA"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6">
    <w:p w14:paraId="7A55D587" w14:textId="77777777" w:rsidR="009B14EA" w:rsidRPr="002D4DD9" w:rsidRDefault="009B14EA"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7">
    <w:p w14:paraId="7A55D588" w14:textId="4EF420D0" w:rsidR="009B14EA" w:rsidRPr="00666AC8" w:rsidRDefault="009B14EA"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8">
    <w:p w14:paraId="7A55D589" w14:textId="5F9FD177" w:rsidR="009B14EA" w:rsidRPr="002D4DD9" w:rsidRDefault="009B14EA"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9">
    <w:p w14:paraId="7A55D58A" w14:textId="010C8D03" w:rsidR="009B14EA" w:rsidRPr="002D4DD9" w:rsidRDefault="009B14EA"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0">
    <w:p w14:paraId="7A55D58B" w14:textId="77777777" w:rsidR="009B14EA" w:rsidRPr="002D4DD9" w:rsidRDefault="009B14EA"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1">
    <w:p w14:paraId="7A55D58D" w14:textId="03BDB2CD" w:rsidR="009B14EA" w:rsidRPr="009D7F63" w:rsidRDefault="009B14EA"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2">
    <w:p w14:paraId="7A55D58E" w14:textId="77777777" w:rsidR="009B14EA" w:rsidRPr="009D7F63" w:rsidRDefault="009B14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3">
    <w:p w14:paraId="18F68BE6" w14:textId="77777777" w:rsidR="009B14EA" w:rsidRPr="009D7F63" w:rsidRDefault="009B14EA"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4">
    <w:p w14:paraId="245656D0" w14:textId="34CF1211" w:rsidR="009B14EA" w:rsidRPr="009D7F63" w:rsidRDefault="009B14EA"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5">
    <w:p w14:paraId="1BAE06D9" w14:textId="3DB56B7A" w:rsidR="009B14EA" w:rsidRPr="008D4874" w:rsidRDefault="009B14EA">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14:paraId="06A0F700" w14:textId="0A8847BF" w:rsidR="009B14EA" w:rsidRPr="00A9227A" w:rsidRDefault="009B14EA"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7">
    <w:p w14:paraId="7A55D594" w14:textId="7255982C" w:rsidR="009B14EA" w:rsidRPr="009D7F63" w:rsidRDefault="009B14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8">
    <w:p w14:paraId="7A55D597" w14:textId="7291098D" w:rsidR="009B14EA" w:rsidRPr="009D7F63" w:rsidRDefault="009B14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9">
    <w:p w14:paraId="7A55D598" w14:textId="1F811B32"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0">
    <w:p w14:paraId="7A55D599" w14:textId="36FD13E6"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1">
    <w:p w14:paraId="155B50B0" w14:textId="6BA108FC" w:rsidR="009B14EA" w:rsidRPr="001D76D4" w:rsidRDefault="009B14EA">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2">
    <w:p w14:paraId="2376272C" w14:textId="0C61265A" w:rsidR="009B14EA" w:rsidRDefault="00987173" w:rsidP="009D7F63">
      <w:pPr>
        <w:pStyle w:val="Textpoznmkypodiarou"/>
        <w:rPr>
          <w:rFonts w:cs="Arial"/>
          <w:szCs w:val="16"/>
          <w:lang w:val="sk-SK"/>
        </w:rPr>
      </w:pPr>
      <w:hyperlink r:id="rId3" w:history="1">
        <w:r w:rsidR="009B14EA" w:rsidRPr="00D11568">
          <w:rPr>
            <w:rStyle w:val="Hypertextovprepojenie"/>
            <w:rFonts w:cs="Arial"/>
            <w:sz w:val="16"/>
            <w:szCs w:val="16"/>
            <w:lang w:val="sk-SK"/>
          </w:rPr>
          <w:t>http://www.uvo.gov.sk/legislativametodika-dohlad/metodicke-usmernenia/vseobecne-metodicke-usmernenia-zakon-c-252006-z-z--4bc.html</w:t>
        </w:r>
      </w:hyperlink>
      <w:r w:rsidR="009B14EA" w:rsidRPr="00D11568">
        <w:rPr>
          <w:rFonts w:cs="Arial"/>
          <w:szCs w:val="16"/>
          <w:lang w:val="sk-SK"/>
        </w:rPr>
        <w:t xml:space="preserve">  a http://www.uvo.gov.sk/legislativametodika-dohlad/metodicke-usmernenia/vseobecne-metodicke-usmernenia-zakon-c-3432015-z-z--51e.html</w:t>
      </w:r>
      <w:r w:rsidR="009B14EA" w:rsidRPr="00D11568" w:rsidDel="00D11568">
        <w:rPr>
          <w:rFonts w:cs="Arial"/>
          <w:szCs w:val="16"/>
          <w:lang w:val="sk-SK"/>
        </w:rPr>
        <w:t xml:space="preserve"> </w:t>
      </w:r>
      <w:r w:rsidR="009B14EA" w:rsidRPr="00552EAD">
        <w:rPr>
          <w:rStyle w:val="Odkaznapoznmkupodiarou"/>
          <w:rFonts w:cs="Arial"/>
          <w:szCs w:val="16"/>
          <w:vertAlign w:val="baseline"/>
        </w:rPr>
        <w:t xml:space="preserve"> </w:t>
      </w:r>
      <w:r w:rsidR="009B14EA" w:rsidRPr="009D7F63">
        <w:rPr>
          <w:rStyle w:val="Odkaznapoznmkupodiarou"/>
          <w:rFonts w:cs="Arial"/>
          <w:szCs w:val="16"/>
        </w:rPr>
        <w:footnoteRef/>
      </w:r>
    </w:p>
    <w:p w14:paraId="7A55D59A" w14:textId="542F27CA" w:rsidR="009B14EA" w:rsidRPr="009D7F63" w:rsidRDefault="009B14EA" w:rsidP="009D7F63">
      <w:pPr>
        <w:pStyle w:val="Textpoznmkypodiarou"/>
        <w:rPr>
          <w:rFonts w:cs="Arial"/>
          <w:szCs w:val="16"/>
          <w:lang w:val="sk-SK"/>
        </w:rPr>
      </w:pPr>
    </w:p>
  </w:footnote>
  <w:footnote w:id="93">
    <w:p w14:paraId="7A55D59B" w14:textId="77777777" w:rsidR="009B14EA" w:rsidRPr="009D7F63" w:rsidRDefault="009B14EA"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9B14EA" w:rsidRPr="009D7F63" w:rsidRDefault="009B14EA"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9B14EA" w:rsidRPr="009D7F63" w:rsidRDefault="009B14EA" w:rsidP="009D7F63">
      <w:pPr>
        <w:pStyle w:val="Textpoznmkypodiarou"/>
        <w:rPr>
          <w:rFonts w:cs="Arial"/>
          <w:szCs w:val="16"/>
        </w:rPr>
      </w:pPr>
    </w:p>
  </w:footnote>
  <w:footnote w:id="94">
    <w:p w14:paraId="7758003D" w14:textId="22D7C67A" w:rsidR="009B14EA" w:rsidRPr="00E70656" w:rsidRDefault="009B14EA">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5">
    <w:p w14:paraId="7A55D59E" w14:textId="77777777"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6">
    <w:p w14:paraId="7A55D59F" w14:textId="77777777"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7">
    <w:p w14:paraId="7A55D5A0" w14:textId="77777777" w:rsidR="009B14EA" w:rsidRPr="009D7F63" w:rsidRDefault="009B14EA"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8">
    <w:p w14:paraId="6D173C29" w14:textId="17D0C2A7" w:rsidR="009B14EA" w:rsidRPr="00963E0D" w:rsidRDefault="009B14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9">
    <w:p w14:paraId="17304A12" w14:textId="40A4FD60" w:rsidR="009B14EA" w:rsidRPr="00963E0D" w:rsidRDefault="009B14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0">
    <w:p w14:paraId="169A4593" w14:textId="3DC46A8E" w:rsidR="009B14EA" w:rsidRPr="00963E0D" w:rsidRDefault="009B14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1">
    <w:p w14:paraId="7A55D5A1" w14:textId="77777777" w:rsidR="009B14EA" w:rsidRPr="009D7F63" w:rsidRDefault="009B14EA"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2">
    <w:p w14:paraId="2A432946" w14:textId="35C29B09" w:rsidR="009B14EA" w:rsidRPr="001325C0" w:rsidRDefault="009B14EA">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3">
    <w:p w14:paraId="19A2FB50" w14:textId="3C8C6416" w:rsidR="009B14EA" w:rsidRPr="001325C0" w:rsidRDefault="009B14EA">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4">
    <w:p w14:paraId="6CF6D88E" w14:textId="77777777" w:rsidR="009B14EA" w:rsidRPr="001325C0" w:rsidRDefault="009B14EA"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9B14EA" w:rsidRPr="001325C0" w:rsidRDefault="009B14EA">
      <w:pPr>
        <w:pStyle w:val="Textpoznmkypodiarou"/>
        <w:rPr>
          <w:lang w:val="sk-SK"/>
        </w:rPr>
      </w:pPr>
    </w:p>
  </w:footnote>
  <w:footnote w:id="105">
    <w:p w14:paraId="60152099" w14:textId="6522BB22" w:rsidR="009B14EA" w:rsidRPr="00DF0865" w:rsidRDefault="009B14EA">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6">
    <w:p w14:paraId="7A55D5A3" w14:textId="77777777" w:rsidR="009B14EA" w:rsidRPr="009D7F63" w:rsidRDefault="009B14EA"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9B14EA" w:rsidRDefault="009B14E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9B14EA" w:rsidRDefault="009B14EA">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9B14EA" w:rsidRDefault="009B14E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4">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9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2"/>
  </w:num>
  <w:num w:numId="2">
    <w:abstractNumId w:val="22"/>
  </w:num>
  <w:num w:numId="3">
    <w:abstractNumId w:val="86"/>
  </w:num>
  <w:num w:numId="4">
    <w:abstractNumId w:val="17"/>
  </w:num>
  <w:num w:numId="5">
    <w:abstractNumId w:val="38"/>
  </w:num>
  <w:num w:numId="6">
    <w:abstractNumId w:val="112"/>
  </w:num>
  <w:num w:numId="7">
    <w:abstractNumId w:val="111"/>
  </w:num>
  <w:num w:numId="8">
    <w:abstractNumId w:val="77"/>
  </w:num>
  <w:num w:numId="9">
    <w:abstractNumId w:val="93"/>
  </w:num>
  <w:num w:numId="10">
    <w:abstractNumId w:val="46"/>
  </w:num>
  <w:num w:numId="11">
    <w:abstractNumId w:val="74"/>
  </w:num>
  <w:num w:numId="12">
    <w:abstractNumId w:val="101"/>
  </w:num>
  <w:num w:numId="13">
    <w:abstractNumId w:val="1"/>
  </w:num>
  <w:num w:numId="14">
    <w:abstractNumId w:val="25"/>
  </w:num>
  <w:num w:numId="15">
    <w:abstractNumId w:val="55"/>
  </w:num>
  <w:num w:numId="16">
    <w:abstractNumId w:val="7"/>
  </w:num>
  <w:num w:numId="17">
    <w:abstractNumId w:val="8"/>
  </w:num>
  <w:num w:numId="18">
    <w:abstractNumId w:val="51"/>
  </w:num>
  <w:num w:numId="19">
    <w:abstractNumId w:val="78"/>
  </w:num>
  <w:num w:numId="20">
    <w:abstractNumId w:val="24"/>
  </w:num>
  <w:num w:numId="21">
    <w:abstractNumId w:val="53"/>
  </w:num>
  <w:num w:numId="22">
    <w:abstractNumId w:val="64"/>
  </w:num>
  <w:num w:numId="23">
    <w:abstractNumId w:val="8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9"/>
  </w:num>
  <w:num w:numId="28">
    <w:abstractNumId w:val="67"/>
  </w:num>
  <w:num w:numId="29">
    <w:abstractNumId w:val="94"/>
  </w:num>
  <w:num w:numId="30">
    <w:abstractNumId w:val="75"/>
  </w:num>
  <w:num w:numId="31">
    <w:abstractNumId w:val="107"/>
  </w:num>
  <w:num w:numId="32">
    <w:abstractNumId w:val="91"/>
  </w:num>
  <w:num w:numId="33">
    <w:abstractNumId w:val="98"/>
  </w:num>
  <w:num w:numId="34">
    <w:abstractNumId w:val="103"/>
  </w:num>
  <w:num w:numId="35">
    <w:abstractNumId w:val="37"/>
  </w:num>
  <w:num w:numId="36">
    <w:abstractNumId w:val="45"/>
  </w:num>
  <w:num w:numId="37">
    <w:abstractNumId w:val="43"/>
  </w:num>
  <w:num w:numId="38">
    <w:abstractNumId w:val="50"/>
  </w:num>
  <w:num w:numId="39">
    <w:abstractNumId w:val="62"/>
  </w:num>
  <w:num w:numId="40">
    <w:abstractNumId w:val="106"/>
  </w:num>
  <w:num w:numId="41">
    <w:abstractNumId w:val="2"/>
  </w:num>
  <w:num w:numId="42">
    <w:abstractNumId w:val="48"/>
  </w:num>
  <w:num w:numId="43">
    <w:abstractNumId w:val="73"/>
  </w:num>
  <w:num w:numId="44">
    <w:abstractNumId w:val="5"/>
  </w:num>
  <w:num w:numId="45">
    <w:abstractNumId w:val="31"/>
  </w:num>
  <w:num w:numId="46">
    <w:abstractNumId w:val="83"/>
  </w:num>
  <w:num w:numId="47">
    <w:abstractNumId w:val="92"/>
  </w:num>
  <w:num w:numId="48">
    <w:abstractNumId w:val="47"/>
  </w:num>
  <w:num w:numId="49">
    <w:abstractNumId w:val="65"/>
  </w:num>
  <w:num w:numId="50">
    <w:abstractNumId w:val="102"/>
  </w:num>
  <w:num w:numId="51">
    <w:abstractNumId w:val="30"/>
  </w:num>
  <w:num w:numId="52">
    <w:abstractNumId w:val="18"/>
  </w:num>
  <w:num w:numId="53">
    <w:abstractNumId w:val="9"/>
  </w:num>
  <w:num w:numId="54">
    <w:abstractNumId w:val="33"/>
  </w:num>
  <w:num w:numId="55">
    <w:abstractNumId w:val="23"/>
  </w:num>
  <w:num w:numId="56">
    <w:abstractNumId w:val="34"/>
  </w:num>
  <w:num w:numId="57">
    <w:abstractNumId w:val="15"/>
  </w:num>
  <w:num w:numId="58">
    <w:abstractNumId w:val="71"/>
  </w:num>
  <w:num w:numId="59">
    <w:abstractNumId w:val="49"/>
  </w:num>
  <w:num w:numId="60">
    <w:abstractNumId w:val="39"/>
  </w:num>
  <w:num w:numId="61">
    <w:abstractNumId w:val="81"/>
  </w:num>
  <w:num w:numId="62">
    <w:abstractNumId w:val="88"/>
  </w:num>
  <w:num w:numId="63">
    <w:abstractNumId w:val="59"/>
  </w:num>
  <w:num w:numId="64">
    <w:abstractNumId w:val="6"/>
  </w:num>
  <w:num w:numId="65">
    <w:abstractNumId w:val="29"/>
  </w:num>
  <w:num w:numId="66">
    <w:abstractNumId w:val="35"/>
  </w:num>
  <w:num w:numId="67">
    <w:abstractNumId w:val="14"/>
  </w:num>
  <w:num w:numId="68">
    <w:abstractNumId w:val="70"/>
  </w:num>
  <w:num w:numId="69">
    <w:abstractNumId w:val="16"/>
  </w:num>
  <w:num w:numId="70">
    <w:abstractNumId w:val="104"/>
  </w:num>
  <w:num w:numId="71">
    <w:abstractNumId w:val="54"/>
  </w:num>
  <w:num w:numId="72">
    <w:abstractNumId w:val="27"/>
  </w:num>
  <w:num w:numId="73">
    <w:abstractNumId w:val="99"/>
  </w:num>
  <w:num w:numId="74">
    <w:abstractNumId w:val="13"/>
  </w:num>
  <w:num w:numId="75">
    <w:abstractNumId w:val="109"/>
  </w:num>
  <w:num w:numId="76">
    <w:abstractNumId w:val="19"/>
  </w:num>
  <w:num w:numId="77">
    <w:abstractNumId w:val="108"/>
  </w:num>
  <w:num w:numId="78">
    <w:abstractNumId w:val="40"/>
  </w:num>
  <w:num w:numId="79">
    <w:abstractNumId w:val="113"/>
  </w:num>
  <w:num w:numId="80">
    <w:abstractNumId w:val="41"/>
  </w:num>
  <w:num w:numId="81">
    <w:abstractNumId w:val="26"/>
  </w:num>
  <w:num w:numId="82">
    <w:abstractNumId w:val="96"/>
  </w:num>
  <w:num w:numId="83">
    <w:abstractNumId w:val="57"/>
  </w:num>
  <w:num w:numId="84">
    <w:abstractNumId w:val="10"/>
  </w:num>
  <w:num w:numId="85">
    <w:abstractNumId w:val="28"/>
  </w:num>
  <w:num w:numId="86">
    <w:abstractNumId w:val="21"/>
  </w:num>
  <w:num w:numId="87">
    <w:abstractNumId w:val="76"/>
  </w:num>
  <w:num w:numId="88">
    <w:abstractNumId w:val="56"/>
  </w:num>
  <w:num w:numId="89">
    <w:abstractNumId w:val="32"/>
  </w:num>
  <w:num w:numId="90">
    <w:abstractNumId w:val="3"/>
  </w:num>
  <w:num w:numId="91">
    <w:abstractNumId w:val="105"/>
  </w:num>
  <w:num w:numId="92">
    <w:abstractNumId w:val="12"/>
  </w:num>
  <w:num w:numId="93">
    <w:abstractNumId w:val="44"/>
  </w:num>
  <w:num w:numId="94">
    <w:abstractNumId w:val="84"/>
  </w:num>
  <w:num w:numId="95">
    <w:abstractNumId w:val="80"/>
  </w:num>
  <w:num w:numId="96">
    <w:abstractNumId w:val="42"/>
  </w:num>
  <w:num w:numId="97">
    <w:abstractNumId w:val="63"/>
  </w:num>
  <w:num w:numId="98">
    <w:abstractNumId w:val="4"/>
  </w:num>
  <w:num w:numId="99">
    <w:abstractNumId w:val="66"/>
  </w:num>
  <w:num w:numId="100">
    <w:abstractNumId w:val="97"/>
  </w:num>
  <w:num w:numId="101">
    <w:abstractNumId w:val="85"/>
  </w:num>
  <w:num w:numId="102">
    <w:abstractNumId w:val="11"/>
  </w:num>
  <w:num w:numId="103">
    <w:abstractNumId w:val="60"/>
  </w:num>
  <w:num w:numId="104">
    <w:abstractNumId w:val="110"/>
  </w:num>
  <w:num w:numId="105">
    <w:abstractNumId w:val="58"/>
  </w:num>
  <w:num w:numId="106">
    <w:abstractNumId w:val="89"/>
  </w:num>
  <w:num w:numId="107">
    <w:abstractNumId w:val="79"/>
  </w:num>
  <w:num w:numId="108">
    <w:abstractNumId w:val="90"/>
  </w:num>
  <w:num w:numId="1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2"/>
  </w:num>
  <w:num w:numId="1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8"/>
  </w:num>
  <w:num w:numId="1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4"/>
  </w:num>
  <w:num w:numId="124">
    <w:abstractNumId w:val="36"/>
  </w:num>
  <w:num w:numId="125">
    <w:abstractNumId w:val="61"/>
  </w:num>
  <w:num w:numId="126">
    <w:abstractNumId w:val="9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6EC5"/>
    <w:rsid w:val="00097054"/>
    <w:rsid w:val="000970B7"/>
    <w:rsid w:val="00097124"/>
    <w:rsid w:val="00097AE7"/>
    <w:rsid w:val="000A1906"/>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968"/>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87C2C"/>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EE5"/>
    <w:rsid w:val="00466405"/>
    <w:rsid w:val="00466A54"/>
    <w:rsid w:val="0046756F"/>
    <w:rsid w:val="00467728"/>
    <w:rsid w:val="0046791B"/>
    <w:rsid w:val="00467D01"/>
    <w:rsid w:val="00471968"/>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B8"/>
    <w:rsid w:val="005752E0"/>
    <w:rsid w:val="00575791"/>
    <w:rsid w:val="00576253"/>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3C3C"/>
    <w:rsid w:val="005F429B"/>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62F"/>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6EC9"/>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3B5E"/>
    <w:rsid w:val="006D482A"/>
    <w:rsid w:val="006D4D04"/>
    <w:rsid w:val="006D565B"/>
    <w:rsid w:val="006D6107"/>
    <w:rsid w:val="006D6176"/>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4EE"/>
    <w:rsid w:val="0077163E"/>
    <w:rsid w:val="00771817"/>
    <w:rsid w:val="00771D73"/>
    <w:rsid w:val="00772344"/>
    <w:rsid w:val="007725CE"/>
    <w:rsid w:val="00772F95"/>
    <w:rsid w:val="007738BC"/>
    <w:rsid w:val="00773E5D"/>
    <w:rsid w:val="0077462E"/>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1D37"/>
    <w:rsid w:val="00862116"/>
    <w:rsid w:val="008624EB"/>
    <w:rsid w:val="00863D7C"/>
    <w:rsid w:val="00864433"/>
    <w:rsid w:val="008646BC"/>
    <w:rsid w:val="00864DCA"/>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0B4"/>
    <w:rsid w:val="009718D5"/>
    <w:rsid w:val="009719B7"/>
    <w:rsid w:val="00971D19"/>
    <w:rsid w:val="009722F8"/>
    <w:rsid w:val="00972737"/>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69EC"/>
    <w:rsid w:val="009974B4"/>
    <w:rsid w:val="00997944"/>
    <w:rsid w:val="00997DF4"/>
    <w:rsid w:val="009A0658"/>
    <w:rsid w:val="009A1F8B"/>
    <w:rsid w:val="009A2054"/>
    <w:rsid w:val="009A27FA"/>
    <w:rsid w:val="009A3B71"/>
    <w:rsid w:val="009A4156"/>
    <w:rsid w:val="009A420D"/>
    <w:rsid w:val="009A4965"/>
    <w:rsid w:val="009A5181"/>
    <w:rsid w:val="009A640F"/>
    <w:rsid w:val="009A70F7"/>
    <w:rsid w:val="009A7117"/>
    <w:rsid w:val="009A76D6"/>
    <w:rsid w:val="009A78AB"/>
    <w:rsid w:val="009B046B"/>
    <w:rsid w:val="009B14EA"/>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066B"/>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981"/>
    <w:rsid w:val="00AA1060"/>
    <w:rsid w:val="00AA3C9F"/>
    <w:rsid w:val="00AA532A"/>
    <w:rsid w:val="00AA5523"/>
    <w:rsid w:val="00AA59C0"/>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C0"/>
    <w:rsid w:val="00B525F3"/>
    <w:rsid w:val="00B52BB0"/>
    <w:rsid w:val="00B52C8A"/>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C37"/>
    <w:rsid w:val="00C2412C"/>
    <w:rsid w:val="00C256BE"/>
    <w:rsid w:val="00C2599E"/>
    <w:rsid w:val="00C2640A"/>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2E96"/>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726D"/>
    <w:rsid w:val="00DB7A4A"/>
    <w:rsid w:val="00DC033E"/>
    <w:rsid w:val="00DC149F"/>
    <w:rsid w:val="00DC221E"/>
    <w:rsid w:val="00DC2368"/>
    <w:rsid w:val="00DC296E"/>
    <w:rsid w:val="00DC2D9F"/>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7D3"/>
    <w:rsid w:val="00E44A18"/>
    <w:rsid w:val="00E45383"/>
    <w:rsid w:val="00E455E2"/>
    <w:rsid w:val="00E459F5"/>
    <w:rsid w:val="00E45F35"/>
    <w:rsid w:val="00E46BBE"/>
    <w:rsid w:val="00E4734A"/>
    <w:rsid w:val="00E47923"/>
    <w:rsid w:val="00E47BCB"/>
    <w:rsid w:val="00E50545"/>
    <w:rsid w:val="00E5084E"/>
    <w:rsid w:val="00E50BC9"/>
    <w:rsid w:val="00E5103B"/>
    <w:rsid w:val="00E51A8F"/>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4353"/>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1A1D"/>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ABC"/>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0B0D"/>
    <w:rsid w:val="00F310A0"/>
    <w:rsid w:val="00F316B4"/>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D7E98"/>
    <w:rsid w:val="00FE024C"/>
    <w:rsid w:val="00FE07E4"/>
    <w:rsid w:val="00FE0EAA"/>
    <w:rsid w:val="00FE156B"/>
    <w:rsid w:val="00FE228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mailto:vo.sep@minv.sk"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D9871A7B-AC30-4907-B5D6-485668B3A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144</Pages>
  <Words>71170</Words>
  <Characters>405674</Characters>
  <Application>Microsoft Office Word</Application>
  <DocSecurity>0</DocSecurity>
  <Lines>3380</Lines>
  <Paragraphs>951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475893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2017-07-17T11:50:00Z</dcterms:created>
  <dcterms:modified xsi:type="dcterms:W3CDTF">2017-08-31T10:43:00Z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