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F84B0" w14:textId="0F5679B9" w:rsidR="00F87B99" w:rsidRDefault="00F87B99" w:rsidP="003E4CCB">
      <w:pPr>
        <w:jc w:val="center"/>
        <w:rPr>
          <w:rFonts w:cs="Arial"/>
          <w:b/>
          <w:bCs/>
          <w:smallCaps/>
          <w:noProof/>
          <w:sz w:val="28"/>
          <w:szCs w:val="28"/>
          <w:lang w:eastAsia="sk-SK"/>
        </w:rPr>
      </w:pPr>
    </w:p>
    <w:p w14:paraId="68EE966B" w14:textId="1D144383" w:rsidR="003E4CCB" w:rsidRPr="00347388" w:rsidRDefault="008827B8"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752" behindDoc="1" locked="0" layoutInCell="1" allowOverlap="1" wp14:anchorId="0BAA0081" wp14:editId="29CA99E0">
            <wp:simplePos x="0" y="0"/>
            <wp:positionH relativeFrom="page">
              <wp:posOffset>-618490</wp:posOffset>
            </wp:positionH>
            <wp:positionV relativeFrom="margin">
              <wp:posOffset>-806450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76EDF367"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540373">
        <w:rPr>
          <w:rFonts w:cs="Arial"/>
          <w:sz w:val="20"/>
          <w:lang w:eastAsia="cs-CZ"/>
        </w:rPr>
        <w:t>17</w:t>
      </w:r>
      <w:r w:rsidRPr="00E25071">
        <w:rPr>
          <w:rFonts w:cs="Arial"/>
          <w:sz w:val="20"/>
          <w:lang w:eastAsia="cs-CZ"/>
        </w:rPr>
        <w:t xml:space="preserve">. </w:t>
      </w:r>
      <w:r w:rsidR="00FF3FC8">
        <w:rPr>
          <w:rFonts w:cs="Arial"/>
          <w:sz w:val="20"/>
          <w:lang w:eastAsia="cs-CZ"/>
        </w:rPr>
        <w:t>0</w:t>
      </w:r>
      <w:r w:rsidR="00540373">
        <w:rPr>
          <w:rFonts w:cs="Arial"/>
          <w:sz w:val="20"/>
          <w:lang w:eastAsia="cs-CZ"/>
        </w:rPr>
        <w:t>6</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5121BAEC"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540373">
        <w:rPr>
          <w:rFonts w:cs="Arial"/>
          <w:sz w:val="20"/>
          <w:lang w:eastAsia="cs-CZ"/>
        </w:rPr>
        <w:t>17</w:t>
      </w:r>
      <w:r w:rsidRPr="00E25071">
        <w:rPr>
          <w:rFonts w:cs="Arial"/>
          <w:sz w:val="20"/>
          <w:lang w:eastAsia="cs-CZ"/>
        </w:rPr>
        <w:t>. </w:t>
      </w:r>
      <w:r w:rsidR="00FF3FC8">
        <w:rPr>
          <w:rFonts w:cs="Arial"/>
          <w:sz w:val="20"/>
          <w:lang w:eastAsia="cs-CZ"/>
        </w:rPr>
        <w:t>0</w:t>
      </w:r>
      <w:r w:rsidR="00540373">
        <w:rPr>
          <w:rFonts w:cs="Arial"/>
          <w:sz w:val="20"/>
          <w:lang w:eastAsia="cs-CZ"/>
        </w:rPr>
        <w:t>6</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05B356B1"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r w:rsidR="00540373">
        <w:t>17</w:t>
      </w:r>
      <w:r w:rsidRPr="00140CE3">
        <w:t>. </w:t>
      </w:r>
      <w:r w:rsidR="00F66B4D">
        <w:t>0</w:t>
      </w:r>
      <w:r w:rsidR="00540373">
        <w:t>6</w:t>
      </w:r>
      <w:r>
        <w:t>. </w:t>
      </w:r>
      <w:r w:rsidR="00866918">
        <w:t>202</w:t>
      </w:r>
      <w:r w:rsidR="00061C71">
        <w:t>2</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353E7873"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CF0BAF">
        <w:rPr>
          <w:rFonts w:cs="Arial"/>
          <w:sz w:val="20"/>
          <w:lang w:eastAsia="cs-CZ"/>
        </w:rPr>
        <w:t>17</w:t>
      </w:r>
      <w:r w:rsidRPr="00E25071">
        <w:rPr>
          <w:rFonts w:cs="Arial"/>
          <w:sz w:val="20"/>
          <w:lang w:eastAsia="cs-CZ"/>
        </w:rPr>
        <w:t>. </w:t>
      </w:r>
      <w:r w:rsidR="00FF3FC8">
        <w:rPr>
          <w:rFonts w:cs="Arial"/>
          <w:sz w:val="20"/>
          <w:lang w:eastAsia="cs-CZ"/>
        </w:rPr>
        <w:t>0</w:t>
      </w:r>
      <w:r w:rsidR="00CF0BAF">
        <w:rPr>
          <w:rFonts w:cs="Arial"/>
          <w:sz w:val="20"/>
          <w:lang w:eastAsia="cs-CZ"/>
        </w:rPr>
        <w:t>6</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19D4FF1F" w14:textId="77777777" w:rsidR="003E4CCB" w:rsidRPr="00347388" w:rsidRDefault="003E4CCB" w:rsidP="003E4CCB">
      <w:pPr>
        <w:spacing w:line="360" w:lineRule="auto"/>
        <w:rPr>
          <w:rFonts w:cs="Arial"/>
          <w:sz w:val="20"/>
          <w:lang w:eastAsia="cs-CZ"/>
        </w:rPr>
      </w:pPr>
    </w:p>
    <w:p w14:paraId="4DE67884" w14:textId="15FBC324" w:rsidR="003E4CCB" w:rsidRPr="00443722" w:rsidRDefault="003E4CCB" w:rsidP="00443722">
      <w:pPr>
        <w:tabs>
          <w:tab w:val="center" w:pos="4536"/>
          <w:tab w:val="right" w:pos="9072"/>
        </w:tabs>
        <w:rPr>
          <w:rFonts w:cs="Arial"/>
          <w:sz w:val="20"/>
          <w:lang w:eastAsia="cs-CZ"/>
        </w:rPr>
      </w:pPr>
      <w:r w:rsidRPr="00347388">
        <w:rPr>
          <w:rFonts w:cs="Arial"/>
          <w:sz w:val="20"/>
          <w:lang w:eastAsia="cs-CZ"/>
        </w:rPr>
        <w:tab/>
      </w:r>
      <w:r w:rsidRPr="00E25071">
        <w:rPr>
          <w:rFonts w:cs="Arial"/>
          <w:sz w:val="18"/>
          <w:lang w:eastAsia="cs-CZ"/>
        </w:rPr>
        <w:t xml:space="preserve">Verzia: </w:t>
      </w:r>
      <w:r w:rsidR="00163432">
        <w:rPr>
          <w:rFonts w:cs="Arial"/>
          <w:sz w:val="18"/>
          <w:lang w:eastAsia="cs-CZ"/>
        </w:rPr>
        <w:t>8.</w:t>
      </w:r>
      <w:r w:rsidR="00443722">
        <w:rPr>
          <w:rFonts w:cs="Arial"/>
          <w:sz w:val="18"/>
          <w:lang w:eastAsia="cs-CZ"/>
        </w:rPr>
        <w:t>1</w:t>
      </w:r>
      <w:r w:rsidRPr="00E25071">
        <w:rPr>
          <w:rFonts w:cs="Arial"/>
          <w:sz w:val="18"/>
          <w:lang w:eastAsia="cs-CZ"/>
        </w:rPr>
        <w:t>; platnosť od</w:t>
      </w:r>
      <w:r w:rsidRPr="00267B42">
        <w:rPr>
          <w:rFonts w:cs="Arial"/>
          <w:sz w:val="18"/>
          <w:lang w:eastAsia="cs-CZ"/>
        </w:rPr>
        <w:t xml:space="preserve">: </w:t>
      </w:r>
      <w:r w:rsidR="00540373">
        <w:rPr>
          <w:rFonts w:cs="Arial"/>
          <w:sz w:val="18"/>
          <w:lang w:eastAsia="cs-CZ"/>
        </w:rPr>
        <w:t>17</w:t>
      </w:r>
      <w:r w:rsidRPr="00267B42">
        <w:rPr>
          <w:rFonts w:cs="Arial"/>
          <w:sz w:val="18"/>
          <w:lang w:eastAsia="cs-CZ"/>
        </w:rPr>
        <w:t xml:space="preserve">. </w:t>
      </w:r>
      <w:r w:rsidR="00267B42" w:rsidRPr="00E758CB">
        <w:rPr>
          <w:rFonts w:cs="Arial"/>
          <w:sz w:val="18"/>
          <w:lang w:eastAsia="cs-CZ"/>
        </w:rPr>
        <w:t>0</w:t>
      </w:r>
      <w:r w:rsidR="00540373">
        <w:rPr>
          <w:rFonts w:cs="Arial"/>
          <w:sz w:val="18"/>
          <w:lang w:eastAsia="cs-CZ"/>
        </w:rPr>
        <w:t>6</w:t>
      </w:r>
      <w:r w:rsidRPr="00267B42">
        <w:rPr>
          <w:rFonts w:cs="Arial"/>
          <w:sz w:val="18"/>
          <w:lang w:eastAsia="cs-CZ"/>
        </w:rPr>
        <w:t>. </w:t>
      </w:r>
      <w:r w:rsidR="00866918" w:rsidRPr="00725179">
        <w:rPr>
          <w:rFonts w:cs="Arial"/>
          <w:sz w:val="18"/>
          <w:lang w:eastAsia="cs-CZ"/>
        </w:rPr>
        <w:t>202</w:t>
      </w:r>
      <w:r w:rsidR="00061C71" w:rsidRPr="00725179">
        <w:rPr>
          <w:rFonts w:cs="Arial"/>
          <w:sz w:val="18"/>
          <w:lang w:eastAsia="cs-CZ"/>
        </w:rPr>
        <w:t>2</w:t>
      </w:r>
      <w:r w:rsidRPr="00267B42">
        <w:rPr>
          <w:rFonts w:cs="Arial"/>
          <w:sz w:val="18"/>
          <w:lang w:eastAsia="cs-CZ"/>
        </w:rPr>
        <w:t>, účinnosť od:</w:t>
      </w:r>
      <w:r w:rsidR="00D90229" w:rsidRPr="00267B42">
        <w:rPr>
          <w:rFonts w:cs="Arial"/>
          <w:sz w:val="18"/>
          <w:lang w:eastAsia="cs-CZ"/>
        </w:rPr>
        <w:t xml:space="preserve"> </w:t>
      </w:r>
      <w:r w:rsidR="00540373">
        <w:rPr>
          <w:rFonts w:cs="Arial"/>
          <w:sz w:val="18"/>
          <w:lang w:eastAsia="cs-CZ"/>
        </w:rPr>
        <w:t>17</w:t>
      </w:r>
      <w:r w:rsidRPr="00267B42">
        <w:rPr>
          <w:rFonts w:cs="Arial"/>
          <w:sz w:val="18"/>
          <w:lang w:eastAsia="cs-CZ"/>
        </w:rPr>
        <w:t xml:space="preserve">. </w:t>
      </w:r>
      <w:r w:rsidR="00267B42" w:rsidRPr="00E758CB">
        <w:rPr>
          <w:rFonts w:cs="Arial"/>
          <w:sz w:val="18"/>
          <w:lang w:eastAsia="cs-CZ"/>
        </w:rPr>
        <w:t>0</w:t>
      </w:r>
      <w:r w:rsidR="00540373">
        <w:rPr>
          <w:rFonts w:cs="Arial"/>
          <w:sz w:val="18"/>
          <w:lang w:eastAsia="cs-CZ"/>
        </w:rPr>
        <w:t>6</w:t>
      </w:r>
      <w:r w:rsidRPr="00267B42">
        <w:rPr>
          <w:rFonts w:cs="Arial"/>
          <w:sz w:val="18"/>
          <w:lang w:eastAsia="cs-CZ"/>
        </w:rPr>
        <w:t>.</w:t>
      </w:r>
      <w:r w:rsidRPr="00E25071">
        <w:rPr>
          <w:rFonts w:cs="Arial"/>
          <w:sz w:val="18"/>
          <w:lang w:eastAsia="cs-CZ"/>
        </w:rPr>
        <w:t> </w:t>
      </w:r>
      <w:r w:rsidR="00866918" w:rsidRPr="00E25071">
        <w:rPr>
          <w:rFonts w:cs="Arial"/>
          <w:sz w:val="18"/>
          <w:lang w:eastAsia="cs-CZ"/>
        </w:rPr>
        <w:t>20</w:t>
      </w:r>
      <w:r w:rsidR="00866918">
        <w:rPr>
          <w:rFonts w:cs="Arial"/>
          <w:sz w:val="18"/>
          <w:lang w:eastAsia="cs-CZ"/>
        </w:rPr>
        <w:t>2</w:t>
      </w:r>
      <w:r w:rsidR="00061C71">
        <w:rPr>
          <w:rFonts w:cs="Arial"/>
          <w:sz w:val="18"/>
          <w:lang w:eastAsia="cs-CZ"/>
        </w:rPr>
        <w:t>2</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73306118" w14:textId="74C2CE82" w:rsidR="00E758CB"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94683042" w:history="1">
        <w:r w:rsidR="00E758CB" w:rsidRPr="00D55D73">
          <w:rPr>
            <w:rStyle w:val="Hypertextovprepojenie"/>
            <w:noProof/>
          </w:rPr>
          <w:t>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Úvod</w:t>
        </w:r>
        <w:r w:rsidR="00E758CB">
          <w:rPr>
            <w:noProof/>
            <w:webHidden/>
          </w:rPr>
          <w:tab/>
        </w:r>
        <w:r w:rsidR="00E758CB">
          <w:rPr>
            <w:noProof/>
            <w:webHidden/>
          </w:rPr>
          <w:fldChar w:fldCharType="begin"/>
        </w:r>
        <w:r w:rsidR="00E758CB">
          <w:rPr>
            <w:noProof/>
            <w:webHidden/>
          </w:rPr>
          <w:instrText xml:space="preserve"> PAGEREF _Toc94683042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2209BBB3" w14:textId="11FA7CA4"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3" w:history="1">
        <w:r w:rsidR="00E758CB" w:rsidRPr="00D55D73">
          <w:rPr>
            <w:rStyle w:val="Hypertextovprepojenie"/>
            <w:noProof/>
          </w:rPr>
          <w:t>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Účinnosť príručky pre prijímateľa</w:t>
        </w:r>
        <w:r w:rsidR="00E758CB">
          <w:rPr>
            <w:noProof/>
            <w:webHidden/>
          </w:rPr>
          <w:tab/>
        </w:r>
        <w:r w:rsidR="00E758CB">
          <w:rPr>
            <w:noProof/>
            <w:webHidden/>
          </w:rPr>
          <w:fldChar w:fldCharType="begin"/>
        </w:r>
        <w:r w:rsidR="00E758CB">
          <w:rPr>
            <w:noProof/>
            <w:webHidden/>
          </w:rPr>
          <w:instrText xml:space="preserve"> PAGEREF _Toc94683043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6A727DBE" w14:textId="39B961E3" w:rsidR="00E758CB" w:rsidRDefault="000353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4" w:history="1">
        <w:r w:rsidR="00E758CB" w:rsidRPr="00D55D73">
          <w:rPr>
            <w:rStyle w:val="Hypertextovprepojenie"/>
            <w:noProof/>
          </w:rPr>
          <w:t>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Cieľ príručky pre prijímateľa</w:t>
        </w:r>
        <w:r w:rsidR="00E758CB">
          <w:rPr>
            <w:noProof/>
            <w:webHidden/>
          </w:rPr>
          <w:tab/>
        </w:r>
        <w:r w:rsidR="00E758CB">
          <w:rPr>
            <w:noProof/>
            <w:webHidden/>
          </w:rPr>
          <w:fldChar w:fldCharType="begin"/>
        </w:r>
        <w:r w:rsidR="00E758CB">
          <w:rPr>
            <w:noProof/>
            <w:webHidden/>
          </w:rPr>
          <w:instrText xml:space="preserve"> PAGEREF _Toc94683044 \h </w:instrText>
        </w:r>
        <w:r w:rsidR="00E758CB">
          <w:rPr>
            <w:noProof/>
            <w:webHidden/>
          </w:rPr>
        </w:r>
        <w:r w:rsidR="00E758CB">
          <w:rPr>
            <w:noProof/>
            <w:webHidden/>
          </w:rPr>
          <w:fldChar w:fldCharType="separate"/>
        </w:r>
        <w:r w:rsidR="007F09E9">
          <w:rPr>
            <w:noProof/>
            <w:webHidden/>
          </w:rPr>
          <w:t>5</w:t>
        </w:r>
        <w:r w:rsidR="00E758CB">
          <w:rPr>
            <w:noProof/>
            <w:webHidden/>
          </w:rPr>
          <w:fldChar w:fldCharType="end"/>
        </w:r>
      </w:hyperlink>
    </w:p>
    <w:p w14:paraId="454ED94F" w14:textId="101BA919"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5" w:history="1">
        <w:r w:rsidR="00E758CB" w:rsidRPr="00D55D73">
          <w:rPr>
            <w:rStyle w:val="Hypertextovprepojenie"/>
            <w:noProof/>
          </w:rPr>
          <w:t>1.3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Definícia pojmov</w:t>
        </w:r>
        <w:r w:rsidR="00E758CB">
          <w:rPr>
            <w:noProof/>
            <w:webHidden/>
          </w:rPr>
          <w:tab/>
        </w:r>
        <w:r w:rsidR="00E758CB">
          <w:rPr>
            <w:noProof/>
            <w:webHidden/>
          </w:rPr>
          <w:fldChar w:fldCharType="begin"/>
        </w:r>
        <w:r w:rsidR="00E758CB">
          <w:rPr>
            <w:noProof/>
            <w:webHidden/>
          </w:rPr>
          <w:instrText xml:space="preserve"> PAGEREF _Toc94683045 \h </w:instrText>
        </w:r>
        <w:r w:rsidR="00E758CB">
          <w:rPr>
            <w:noProof/>
            <w:webHidden/>
          </w:rPr>
        </w:r>
        <w:r w:rsidR="00E758CB">
          <w:rPr>
            <w:noProof/>
            <w:webHidden/>
          </w:rPr>
          <w:fldChar w:fldCharType="separate"/>
        </w:r>
        <w:r w:rsidR="007F09E9">
          <w:rPr>
            <w:noProof/>
            <w:webHidden/>
          </w:rPr>
          <w:t>5</w:t>
        </w:r>
        <w:r w:rsidR="00E758CB">
          <w:rPr>
            <w:noProof/>
            <w:webHidden/>
          </w:rPr>
          <w:fldChar w:fldCharType="end"/>
        </w:r>
      </w:hyperlink>
    </w:p>
    <w:p w14:paraId="7CF38C21" w14:textId="25D9E38C"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6" w:history="1">
        <w:r w:rsidR="00E758CB" w:rsidRPr="00D55D73">
          <w:rPr>
            <w:rStyle w:val="Hypertextovprepojenie"/>
            <w:noProof/>
          </w:rPr>
          <w:t>1.4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Použité skratky</w:t>
        </w:r>
        <w:r w:rsidR="00E758CB">
          <w:rPr>
            <w:noProof/>
            <w:webHidden/>
          </w:rPr>
          <w:tab/>
        </w:r>
        <w:r w:rsidR="00E758CB">
          <w:rPr>
            <w:noProof/>
            <w:webHidden/>
          </w:rPr>
          <w:fldChar w:fldCharType="begin"/>
        </w:r>
        <w:r w:rsidR="00E758CB">
          <w:rPr>
            <w:noProof/>
            <w:webHidden/>
          </w:rPr>
          <w:instrText xml:space="preserve"> PAGEREF _Toc94683046 \h </w:instrText>
        </w:r>
        <w:r w:rsidR="00E758CB">
          <w:rPr>
            <w:noProof/>
            <w:webHidden/>
          </w:rPr>
        </w:r>
        <w:r w:rsidR="00E758CB">
          <w:rPr>
            <w:noProof/>
            <w:webHidden/>
          </w:rPr>
          <w:fldChar w:fldCharType="separate"/>
        </w:r>
        <w:r w:rsidR="007F09E9">
          <w:rPr>
            <w:noProof/>
            <w:webHidden/>
          </w:rPr>
          <w:t>15</w:t>
        </w:r>
        <w:r w:rsidR="00E758CB">
          <w:rPr>
            <w:noProof/>
            <w:webHidden/>
          </w:rPr>
          <w:fldChar w:fldCharType="end"/>
        </w:r>
      </w:hyperlink>
    </w:p>
    <w:p w14:paraId="2653C56D" w14:textId="6E1D586F"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7" w:history="1">
        <w:r w:rsidR="00E758CB" w:rsidRPr="00D55D73">
          <w:rPr>
            <w:rStyle w:val="Hypertextovprepojenie"/>
            <w:noProof/>
          </w:rPr>
          <w:t>1.5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Legislatíva</w:t>
        </w:r>
        <w:r w:rsidR="00E758CB">
          <w:rPr>
            <w:noProof/>
            <w:webHidden/>
          </w:rPr>
          <w:tab/>
        </w:r>
        <w:r w:rsidR="00E758CB">
          <w:rPr>
            <w:noProof/>
            <w:webHidden/>
          </w:rPr>
          <w:fldChar w:fldCharType="begin"/>
        </w:r>
        <w:r w:rsidR="00E758CB">
          <w:rPr>
            <w:noProof/>
            <w:webHidden/>
          </w:rPr>
          <w:instrText xml:space="preserve"> PAGEREF _Toc94683047 \h </w:instrText>
        </w:r>
        <w:r w:rsidR="00E758CB">
          <w:rPr>
            <w:noProof/>
            <w:webHidden/>
          </w:rPr>
        </w:r>
        <w:r w:rsidR="00E758CB">
          <w:rPr>
            <w:noProof/>
            <w:webHidden/>
          </w:rPr>
          <w:fldChar w:fldCharType="separate"/>
        </w:r>
        <w:r w:rsidR="007F09E9">
          <w:rPr>
            <w:noProof/>
            <w:webHidden/>
          </w:rPr>
          <w:t>17</w:t>
        </w:r>
        <w:r w:rsidR="00E758CB">
          <w:rPr>
            <w:noProof/>
            <w:webHidden/>
          </w:rPr>
          <w:fldChar w:fldCharType="end"/>
        </w:r>
      </w:hyperlink>
    </w:p>
    <w:p w14:paraId="76C9AE9A" w14:textId="76D6817F" w:rsidR="00E758CB" w:rsidRDefault="006E55AE">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48" w:history="1">
        <w:r w:rsidR="00E758CB" w:rsidRPr="00D55D73">
          <w:rPr>
            <w:rStyle w:val="Hypertextovprepojenie"/>
            <w:noProof/>
          </w:rPr>
          <w:t>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Realizácia projektov</w:t>
        </w:r>
        <w:r w:rsidR="00E758CB">
          <w:rPr>
            <w:noProof/>
            <w:webHidden/>
          </w:rPr>
          <w:tab/>
        </w:r>
        <w:r w:rsidR="00E758CB">
          <w:rPr>
            <w:noProof/>
            <w:webHidden/>
          </w:rPr>
          <w:fldChar w:fldCharType="begin"/>
        </w:r>
        <w:r w:rsidR="00E758CB">
          <w:rPr>
            <w:noProof/>
            <w:webHidden/>
          </w:rPr>
          <w:instrText xml:space="preserve"> PAGEREF _Toc94683048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323C3924" w14:textId="1E32E9FD"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9" w:history="1">
        <w:r w:rsidR="00E758CB" w:rsidRPr="00D55D73">
          <w:rPr>
            <w:rStyle w:val="Hypertextovprepojenie"/>
            <w:noProof/>
          </w:rPr>
          <w:t>2.1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 k realizácii projektov</w:t>
        </w:r>
        <w:r w:rsidR="00E758CB">
          <w:rPr>
            <w:noProof/>
            <w:webHidden/>
          </w:rPr>
          <w:tab/>
        </w:r>
        <w:r w:rsidR="00E758CB">
          <w:rPr>
            <w:noProof/>
            <w:webHidden/>
          </w:rPr>
          <w:fldChar w:fldCharType="begin"/>
        </w:r>
        <w:r w:rsidR="00E758CB">
          <w:rPr>
            <w:noProof/>
            <w:webHidden/>
          </w:rPr>
          <w:instrText xml:space="preserve"> PAGEREF _Toc94683049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4B68E2D5" w14:textId="22474456" w:rsidR="00E758CB" w:rsidRDefault="006E55AE">
      <w:pPr>
        <w:pStyle w:val="Obsah3"/>
        <w:rPr>
          <w:rFonts w:asciiTheme="minorHAnsi" w:eastAsiaTheme="minorEastAsia" w:hAnsiTheme="minorHAnsi" w:cstheme="minorBidi"/>
          <w:noProof/>
          <w:sz w:val="22"/>
          <w:szCs w:val="22"/>
          <w:lang w:eastAsia="sk-SK"/>
        </w:rPr>
      </w:pPr>
      <w:hyperlink w:anchor="_Toc94683050" w:history="1">
        <w:r w:rsidR="00E758CB" w:rsidRPr="00D55D73">
          <w:rPr>
            <w:rStyle w:val="Hypertextovprepojenie"/>
            <w:noProof/>
          </w:rPr>
          <w:t>2.1.1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w:t>
        </w:r>
        <w:r w:rsidR="00E758CB">
          <w:rPr>
            <w:noProof/>
            <w:webHidden/>
          </w:rPr>
          <w:tab/>
        </w:r>
        <w:r w:rsidR="00E758CB">
          <w:rPr>
            <w:noProof/>
            <w:webHidden/>
          </w:rPr>
          <w:fldChar w:fldCharType="begin"/>
        </w:r>
        <w:r w:rsidR="00E758CB">
          <w:rPr>
            <w:noProof/>
            <w:webHidden/>
          </w:rPr>
          <w:instrText xml:space="preserve"> PAGEREF _Toc94683050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11D2ED88" w14:textId="23155E47" w:rsidR="00E758CB" w:rsidRDefault="006E55AE">
      <w:pPr>
        <w:pStyle w:val="Obsah3"/>
        <w:rPr>
          <w:rFonts w:asciiTheme="minorHAnsi" w:eastAsiaTheme="minorEastAsia" w:hAnsiTheme="minorHAnsi" w:cstheme="minorBidi"/>
          <w:noProof/>
          <w:sz w:val="22"/>
          <w:szCs w:val="22"/>
          <w:lang w:eastAsia="sk-SK"/>
        </w:rPr>
      </w:pPr>
      <w:hyperlink w:anchor="_Toc94683051" w:history="1">
        <w:r w:rsidR="00E758CB" w:rsidRPr="00D55D73">
          <w:rPr>
            <w:rStyle w:val="Hypertextovprepojenie"/>
            <w:noProof/>
          </w:rPr>
          <w:t>2.1.2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Na čo nezabudnúť po podpise zmluvy</w:t>
        </w:r>
        <w:r w:rsidR="00E758CB">
          <w:rPr>
            <w:noProof/>
            <w:webHidden/>
          </w:rPr>
          <w:tab/>
        </w:r>
        <w:r w:rsidR="00E758CB">
          <w:rPr>
            <w:noProof/>
            <w:webHidden/>
          </w:rPr>
          <w:fldChar w:fldCharType="begin"/>
        </w:r>
        <w:r w:rsidR="00E758CB">
          <w:rPr>
            <w:noProof/>
            <w:webHidden/>
          </w:rPr>
          <w:instrText xml:space="preserve"> PAGEREF _Toc94683051 \h </w:instrText>
        </w:r>
        <w:r w:rsidR="00E758CB">
          <w:rPr>
            <w:noProof/>
            <w:webHidden/>
          </w:rPr>
        </w:r>
        <w:r w:rsidR="00E758CB">
          <w:rPr>
            <w:noProof/>
            <w:webHidden/>
          </w:rPr>
          <w:fldChar w:fldCharType="separate"/>
        </w:r>
        <w:r w:rsidR="007F09E9">
          <w:rPr>
            <w:noProof/>
            <w:webHidden/>
          </w:rPr>
          <w:t>20</w:t>
        </w:r>
        <w:r w:rsidR="00E758CB">
          <w:rPr>
            <w:noProof/>
            <w:webHidden/>
          </w:rPr>
          <w:fldChar w:fldCharType="end"/>
        </w:r>
      </w:hyperlink>
    </w:p>
    <w:p w14:paraId="63EF4050" w14:textId="05CE84C4"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2" w:history="1">
        <w:r w:rsidR="00E758CB" w:rsidRPr="00D55D73">
          <w:rPr>
            <w:rStyle w:val="Hypertextovprepojenie"/>
            <w:noProof/>
          </w:rPr>
          <w:t>2.2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Monitorovanie projektu</w:t>
        </w:r>
        <w:r w:rsidR="00E758CB">
          <w:rPr>
            <w:noProof/>
            <w:webHidden/>
          </w:rPr>
          <w:tab/>
        </w:r>
        <w:r w:rsidR="00E758CB">
          <w:rPr>
            <w:noProof/>
            <w:webHidden/>
          </w:rPr>
          <w:fldChar w:fldCharType="begin"/>
        </w:r>
        <w:r w:rsidR="00E758CB">
          <w:rPr>
            <w:noProof/>
            <w:webHidden/>
          </w:rPr>
          <w:instrText xml:space="preserve"> PAGEREF _Toc94683052 \h </w:instrText>
        </w:r>
        <w:r w:rsidR="00E758CB">
          <w:rPr>
            <w:noProof/>
            <w:webHidden/>
          </w:rPr>
        </w:r>
        <w:r w:rsidR="00E758CB">
          <w:rPr>
            <w:noProof/>
            <w:webHidden/>
          </w:rPr>
          <w:fldChar w:fldCharType="separate"/>
        </w:r>
        <w:r w:rsidR="007F09E9">
          <w:rPr>
            <w:noProof/>
            <w:webHidden/>
          </w:rPr>
          <w:t>22</w:t>
        </w:r>
        <w:r w:rsidR="00E758CB">
          <w:rPr>
            <w:noProof/>
            <w:webHidden/>
          </w:rPr>
          <w:fldChar w:fldCharType="end"/>
        </w:r>
      </w:hyperlink>
    </w:p>
    <w:p w14:paraId="6C8328F5" w14:textId="5EC804CE"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3" w:history="1">
        <w:r w:rsidR="00E758CB" w:rsidRPr="00D55D73">
          <w:rPr>
            <w:rStyle w:val="Hypertextovprepojenie"/>
            <w:noProof/>
          </w:rPr>
          <w:t>2.3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Zmena zmluvy o NFP</w:t>
        </w:r>
        <w:r w:rsidR="00E758CB">
          <w:rPr>
            <w:noProof/>
            <w:webHidden/>
          </w:rPr>
          <w:tab/>
        </w:r>
        <w:r w:rsidR="00E758CB">
          <w:rPr>
            <w:noProof/>
            <w:webHidden/>
          </w:rPr>
          <w:fldChar w:fldCharType="begin"/>
        </w:r>
        <w:r w:rsidR="00E758CB">
          <w:rPr>
            <w:noProof/>
            <w:webHidden/>
          </w:rPr>
          <w:instrText xml:space="preserve"> PAGEREF _Toc94683053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7EC72E6B" w14:textId="3A6D361E" w:rsidR="00E758CB" w:rsidRDefault="006E55AE">
      <w:pPr>
        <w:pStyle w:val="Obsah3"/>
        <w:rPr>
          <w:rFonts w:asciiTheme="minorHAnsi" w:eastAsiaTheme="minorEastAsia" w:hAnsiTheme="minorHAnsi" w:cstheme="minorBidi"/>
          <w:noProof/>
          <w:sz w:val="22"/>
          <w:szCs w:val="22"/>
          <w:lang w:eastAsia="sk-SK"/>
        </w:rPr>
      </w:pPr>
      <w:hyperlink w:anchor="_Toc94683054" w:history="1">
        <w:r w:rsidR="00E758CB" w:rsidRPr="00D55D73">
          <w:rPr>
            <w:rStyle w:val="Hypertextovprepojenie"/>
            <w:noProof/>
          </w:rPr>
          <w:t>2.3.1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Charakter zmien a spôsob posudzovania zmien</w:t>
        </w:r>
        <w:r w:rsidR="00E758CB">
          <w:rPr>
            <w:noProof/>
            <w:webHidden/>
          </w:rPr>
          <w:tab/>
        </w:r>
        <w:r w:rsidR="00E758CB">
          <w:rPr>
            <w:noProof/>
            <w:webHidden/>
          </w:rPr>
          <w:fldChar w:fldCharType="begin"/>
        </w:r>
        <w:r w:rsidR="00E758CB">
          <w:rPr>
            <w:noProof/>
            <w:webHidden/>
          </w:rPr>
          <w:instrText xml:space="preserve"> PAGEREF _Toc94683054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3A4CC2F8" w14:textId="0AC1EA3A" w:rsidR="00E758CB" w:rsidRDefault="006E55AE">
      <w:pPr>
        <w:pStyle w:val="Obsah3"/>
        <w:rPr>
          <w:rFonts w:asciiTheme="minorHAnsi" w:eastAsiaTheme="minorEastAsia" w:hAnsiTheme="minorHAnsi" w:cstheme="minorBidi"/>
          <w:noProof/>
          <w:sz w:val="22"/>
          <w:szCs w:val="22"/>
          <w:lang w:eastAsia="sk-SK"/>
        </w:rPr>
      </w:pPr>
      <w:hyperlink w:anchor="_Toc94683055" w:history="1">
        <w:r w:rsidR="00E758CB" w:rsidRPr="00D55D73">
          <w:rPr>
            <w:rStyle w:val="Hypertextovprepojenie"/>
            <w:noProof/>
          </w:rPr>
          <w:t>2.3.2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Administrácia zmenového konania</w:t>
        </w:r>
        <w:r w:rsidR="00E758CB">
          <w:rPr>
            <w:noProof/>
            <w:webHidden/>
          </w:rPr>
          <w:tab/>
        </w:r>
        <w:r w:rsidR="00E758CB">
          <w:rPr>
            <w:noProof/>
            <w:webHidden/>
          </w:rPr>
          <w:fldChar w:fldCharType="begin"/>
        </w:r>
        <w:r w:rsidR="00E758CB">
          <w:rPr>
            <w:noProof/>
            <w:webHidden/>
          </w:rPr>
          <w:instrText xml:space="preserve"> PAGEREF _Toc94683055 \h </w:instrText>
        </w:r>
        <w:r w:rsidR="00E758CB">
          <w:rPr>
            <w:noProof/>
            <w:webHidden/>
          </w:rPr>
        </w:r>
        <w:r w:rsidR="00E758CB">
          <w:rPr>
            <w:noProof/>
            <w:webHidden/>
          </w:rPr>
          <w:fldChar w:fldCharType="separate"/>
        </w:r>
        <w:r w:rsidR="007F09E9">
          <w:rPr>
            <w:noProof/>
            <w:webHidden/>
          </w:rPr>
          <w:t>30</w:t>
        </w:r>
        <w:r w:rsidR="00E758CB">
          <w:rPr>
            <w:noProof/>
            <w:webHidden/>
          </w:rPr>
          <w:fldChar w:fldCharType="end"/>
        </w:r>
      </w:hyperlink>
    </w:p>
    <w:p w14:paraId="2DE086ED" w14:textId="4C4377EE" w:rsidR="00E758CB" w:rsidRDefault="006E55AE">
      <w:pPr>
        <w:pStyle w:val="Obsah3"/>
        <w:rPr>
          <w:rFonts w:asciiTheme="minorHAnsi" w:eastAsiaTheme="minorEastAsia" w:hAnsiTheme="minorHAnsi" w:cstheme="minorBidi"/>
          <w:noProof/>
          <w:sz w:val="22"/>
          <w:szCs w:val="22"/>
          <w:lang w:eastAsia="sk-SK"/>
        </w:rPr>
      </w:pPr>
      <w:hyperlink w:anchor="_Toc94683056" w:history="1">
        <w:r w:rsidR="00E758CB" w:rsidRPr="00D55D73">
          <w:rPr>
            <w:rStyle w:val="Hypertextovprepojenie"/>
            <w:noProof/>
          </w:rPr>
          <w:t>2.3.3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Ukončenie zmluvného vzťahu</w:t>
        </w:r>
        <w:r w:rsidR="00E758CB">
          <w:rPr>
            <w:noProof/>
            <w:webHidden/>
          </w:rPr>
          <w:tab/>
        </w:r>
        <w:r w:rsidR="00E758CB">
          <w:rPr>
            <w:noProof/>
            <w:webHidden/>
          </w:rPr>
          <w:fldChar w:fldCharType="begin"/>
        </w:r>
        <w:r w:rsidR="00E758CB">
          <w:rPr>
            <w:noProof/>
            <w:webHidden/>
          </w:rPr>
          <w:instrText xml:space="preserve"> PAGEREF _Toc94683056 \h </w:instrText>
        </w:r>
        <w:r w:rsidR="00E758CB">
          <w:rPr>
            <w:noProof/>
            <w:webHidden/>
          </w:rPr>
        </w:r>
        <w:r w:rsidR="00E758CB">
          <w:rPr>
            <w:noProof/>
            <w:webHidden/>
          </w:rPr>
          <w:fldChar w:fldCharType="separate"/>
        </w:r>
        <w:r w:rsidR="007F09E9">
          <w:rPr>
            <w:noProof/>
            <w:webHidden/>
          </w:rPr>
          <w:t>32</w:t>
        </w:r>
        <w:r w:rsidR="00E758CB">
          <w:rPr>
            <w:noProof/>
            <w:webHidden/>
          </w:rPr>
          <w:fldChar w:fldCharType="end"/>
        </w:r>
      </w:hyperlink>
    </w:p>
    <w:p w14:paraId="19A4FBFB" w14:textId="535CBC87"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7" w:history="1">
        <w:r w:rsidR="00E758CB" w:rsidRPr="00D55D73">
          <w:rPr>
            <w:rStyle w:val="Hypertextovprepojenie"/>
            <w:noProof/>
          </w:rPr>
          <w:t>2.4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Finančné riadenie</w:t>
        </w:r>
        <w:r w:rsidR="00E758CB">
          <w:rPr>
            <w:noProof/>
            <w:webHidden/>
          </w:rPr>
          <w:tab/>
        </w:r>
        <w:r w:rsidR="00E758CB">
          <w:rPr>
            <w:noProof/>
            <w:webHidden/>
          </w:rPr>
          <w:fldChar w:fldCharType="begin"/>
        </w:r>
        <w:r w:rsidR="00E758CB">
          <w:rPr>
            <w:noProof/>
            <w:webHidden/>
          </w:rPr>
          <w:instrText xml:space="preserve"> PAGEREF _Toc94683057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69638367" w14:textId="27B9636E" w:rsidR="00E758CB" w:rsidRDefault="006E55AE">
      <w:pPr>
        <w:pStyle w:val="Obsah3"/>
        <w:rPr>
          <w:rFonts w:asciiTheme="minorHAnsi" w:eastAsiaTheme="minorEastAsia" w:hAnsiTheme="minorHAnsi" w:cstheme="minorBidi"/>
          <w:noProof/>
          <w:sz w:val="22"/>
          <w:szCs w:val="22"/>
          <w:lang w:eastAsia="sk-SK"/>
        </w:rPr>
      </w:pPr>
      <w:hyperlink w:anchor="_Toc94683058" w:history="1">
        <w:r w:rsidR="00E758CB" w:rsidRPr="00D55D73">
          <w:rPr>
            <w:rStyle w:val="Hypertextovprepojenie"/>
            <w:noProof/>
          </w:rPr>
          <w:t>2.4.1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Vedenie účtovníctva</w:t>
        </w:r>
        <w:r w:rsidR="00E758CB">
          <w:rPr>
            <w:noProof/>
            <w:webHidden/>
          </w:rPr>
          <w:tab/>
        </w:r>
        <w:r w:rsidR="00E758CB">
          <w:rPr>
            <w:noProof/>
            <w:webHidden/>
          </w:rPr>
          <w:fldChar w:fldCharType="begin"/>
        </w:r>
        <w:r w:rsidR="00E758CB">
          <w:rPr>
            <w:noProof/>
            <w:webHidden/>
          </w:rPr>
          <w:instrText xml:space="preserve"> PAGEREF _Toc94683058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29B5019A" w14:textId="0E284B61" w:rsidR="00E758CB" w:rsidRDefault="006E55AE">
      <w:pPr>
        <w:pStyle w:val="Obsah3"/>
        <w:rPr>
          <w:rFonts w:asciiTheme="minorHAnsi" w:eastAsiaTheme="minorEastAsia" w:hAnsiTheme="minorHAnsi" w:cstheme="minorBidi"/>
          <w:noProof/>
          <w:sz w:val="22"/>
          <w:szCs w:val="22"/>
          <w:lang w:eastAsia="sk-SK"/>
        </w:rPr>
      </w:pPr>
      <w:hyperlink w:anchor="_Toc94683059" w:history="1">
        <w:r w:rsidR="00E758CB" w:rsidRPr="00D55D73">
          <w:rPr>
            <w:rStyle w:val="Hypertextovprepojenie"/>
            <w:noProof/>
          </w:rPr>
          <w:t>2.4.2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Účty a platby prijímateľa</w:t>
        </w:r>
        <w:r w:rsidR="00E758CB">
          <w:rPr>
            <w:noProof/>
            <w:webHidden/>
          </w:rPr>
          <w:tab/>
        </w:r>
        <w:r w:rsidR="00E758CB">
          <w:rPr>
            <w:noProof/>
            <w:webHidden/>
          </w:rPr>
          <w:fldChar w:fldCharType="begin"/>
        </w:r>
        <w:r w:rsidR="00E758CB">
          <w:rPr>
            <w:noProof/>
            <w:webHidden/>
          </w:rPr>
          <w:instrText xml:space="preserve"> PAGEREF _Toc94683059 \h </w:instrText>
        </w:r>
        <w:r w:rsidR="00E758CB">
          <w:rPr>
            <w:noProof/>
            <w:webHidden/>
          </w:rPr>
        </w:r>
        <w:r w:rsidR="00E758CB">
          <w:rPr>
            <w:noProof/>
            <w:webHidden/>
          </w:rPr>
          <w:fldChar w:fldCharType="separate"/>
        </w:r>
        <w:r w:rsidR="007F09E9">
          <w:rPr>
            <w:noProof/>
            <w:webHidden/>
          </w:rPr>
          <w:t>35</w:t>
        </w:r>
        <w:r w:rsidR="00E758CB">
          <w:rPr>
            <w:noProof/>
            <w:webHidden/>
          </w:rPr>
          <w:fldChar w:fldCharType="end"/>
        </w:r>
      </w:hyperlink>
    </w:p>
    <w:p w14:paraId="200B3C1A" w14:textId="3AE0889A" w:rsidR="00E758CB" w:rsidRDefault="006E55AE">
      <w:pPr>
        <w:pStyle w:val="Obsah3"/>
        <w:rPr>
          <w:rFonts w:asciiTheme="minorHAnsi" w:eastAsiaTheme="minorEastAsia" w:hAnsiTheme="minorHAnsi" w:cstheme="minorBidi"/>
          <w:noProof/>
          <w:sz w:val="22"/>
          <w:szCs w:val="22"/>
          <w:lang w:eastAsia="sk-SK"/>
        </w:rPr>
      </w:pPr>
      <w:hyperlink w:anchor="_Toc94683060" w:history="1">
        <w:r w:rsidR="00E758CB" w:rsidRPr="00D55D73">
          <w:rPr>
            <w:rStyle w:val="Hypertextovprepojenie"/>
            <w:noProof/>
          </w:rPr>
          <w:t>2.4.3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Oprávnenosť výdavkov</w:t>
        </w:r>
        <w:r w:rsidR="00E758CB">
          <w:rPr>
            <w:noProof/>
            <w:webHidden/>
          </w:rPr>
          <w:tab/>
        </w:r>
        <w:r w:rsidR="00E758CB">
          <w:rPr>
            <w:noProof/>
            <w:webHidden/>
          </w:rPr>
          <w:fldChar w:fldCharType="begin"/>
        </w:r>
        <w:r w:rsidR="00E758CB">
          <w:rPr>
            <w:noProof/>
            <w:webHidden/>
          </w:rPr>
          <w:instrText xml:space="preserve"> PAGEREF _Toc94683060 \h </w:instrText>
        </w:r>
        <w:r w:rsidR="00E758CB">
          <w:rPr>
            <w:noProof/>
            <w:webHidden/>
          </w:rPr>
        </w:r>
        <w:r w:rsidR="00E758CB">
          <w:rPr>
            <w:noProof/>
            <w:webHidden/>
          </w:rPr>
          <w:fldChar w:fldCharType="separate"/>
        </w:r>
        <w:r w:rsidR="007F09E9">
          <w:rPr>
            <w:noProof/>
            <w:webHidden/>
          </w:rPr>
          <w:t>38</w:t>
        </w:r>
        <w:r w:rsidR="00E758CB">
          <w:rPr>
            <w:noProof/>
            <w:webHidden/>
          </w:rPr>
          <w:fldChar w:fldCharType="end"/>
        </w:r>
      </w:hyperlink>
    </w:p>
    <w:p w14:paraId="6A0D6C09" w14:textId="52E556E8" w:rsidR="00E758CB" w:rsidRDefault="006E55AE">
      <w:pPr>
        <w:pStyle w:val="Obsah3"/>
        <w:rPr>
          <w:rFonts w:asciiTheme="minorHAnsi" w:eastAsiaTheme="minorEastAsia" w:hAnsiTheme="minorHAnsi" w:cstheme="minorBidi"/>
          <w:noProof/>
          <w:sz w:val="22"/>
          <w:szCs w:val="22"/>
          <w:lang w:eastAsia="sk-SK"/>
        </w:rPr>
      </w:pPr>
      <w:hyperlink w:anchor="_Toc94683061" w:history="1">
        <w:r w:rsidR="00E758CB" w:rsidRPr="00D55D73">
          <w:rPr>
            <w:rStyle w:val="Hypertextovprepojenie"/>
            <w:noProof/>
          </w:rPr>
          <w:t>2.4.4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Postupy pri žiadosti o platbu</w:t>
        </w:r>
        <w:r w:rsidR="00E758CB">
          <w:rPr>
            <w:noProof/>
            <w:webHidden/>
          </w:rPr>
          <w:tab/>
        </w:r>
        <w:r w:rsidR="00E758CB">
          <w:rPr>
            <w:noProof/>
            <w:webHidden/>
          </w:rPr>
          <w:fldChar w:fldCharType="begin"/>
        </w:r>
        <w:r w:rsidR="00E758CB">
          <w:rPr>
            <w:noProof/>
            <w:webHidden/>
          </w:rPr>
          <w:instrText xml:space="preserve"> PAGEREF _Toc94683061 \h </w:instrText>
        </w:r>
        <w:r w:rsidR="00E758CB">
          <w:rPr>
            <w:noProof/>
            <w:webHidden/>
          </w:rPr>
        </w:r>
        <w:r w:rsidR="00E758CB">
          <w:rPr>
            <w:noProof/>
            <w:webHidden/>
          </w:rPr>
          <w:fldChar w:fldCharType="separate"/>
        </w:r>
        <w:r w:rsidR="007F09E9">
          <w:rPr>
            <w:noProof/>
            <w:webHidden/>
          </w:rPr>
          <w:t>65</w:t>
        </w:r>
        <w:r w:rsidR="00E758CB">
          <w:rPr>
            <w:noProof/>
            <w:webHidden/>
          </w:rPr>
          <w:fldChar w:fldCharType="end"/>
        </w:r>
      </w:hyperlink>
    </w:p>
    <w:p w14:paraId="1FF6971F" w14:textId="4343EFC0" w:rsidR="00E758CB" w:rsidRDefault="006E55AE">
      <w:pPr>
        <w:pStyle w:val="Obsah3"/>
        <w:rPr>
          <w:rFonts w:asciiTheme="minorHAnsi" w:eastAsiaTheme="minorEastAsia" w:hAnsiTheme="minorHAnsi" w:cstheme="minorBidi"/>
          <w:noProof/>
          <w:sz w:val="22"/>
          <w:szCs w:val="22"/>
          <w:lang w:eastAsia="sk-SK"/>
        </w:rPr>
      </w:pPr>
      <w:hyperlink w:anchor="_Toc94683062" w:history="1">
        <w:r w:rsidR="00E758CB" w:rsidRPr="00D55D73">
          <w:rPr>
            <w:rStyle w:val="Hypertextovprepojenie"/>
            <w:noProof/>
          </w:rPr>
          <w:t>2.4.5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Špecifiká jednotlivých systémov financovania</w:t>
        </w:r>
        <w:r w:rsidR="00E758CB">
          <w:rPr>
            <w:noProof/>
            <w:webHidden/>
          </w:rPr>
          <w:tab/>
        </w:r>
        <w:r w:rsidR="00E758CB">
          <w:rPr>
            <w:noProof/>
            <w:webHidden/>
          </w:rPr>
          <w:fldChar w:fldCharType="begin"/>
        </w:r>
        <w:r w:rsidR="00E758CB">
          <w:rPr>
            <w:noProof/>
            <w:webHidden/>
          </w:rPr>
          <w:instrText xml:space="preserve"> PAGEREF _Toc94683062 \h </w:instrText>
        </w:r>
        <w:r w:rsidR="00E758CB">
          <w:rPr>
            <w:noProof/>
            <w:webHidden/>
          </w:rPr>
        </w:r>
        <w:r w:rsidR="00E758CB">
          <w:rPr>
            <w:noProof/>
            <w:webHidden/>
          </w:rPr>
          <w:fldChar w:fldCharType="separate"/>
        </w:r>
        <w:r w:rsidR="007F09E9">
          <w:rPr>
            <w:noProof/>
            <w:webHidden/>
          </w:rPr>
          <w:t>67</w:t>
        </w:r>
        <w:r w:rsidR="00E758CB">
          <w:rPr>
            <w:noProof/>
            <w:webHidden/>
          </w:rPr>
          <w:fldChar w:fldCharType="end"/>
        </w:r>
      </w:hyperlink>
    </w:p>
    <w:p w14:paraId="521051C8" w14:textId="0B93F41E" w:rsidR="00E758CB" w:rsidRDefault="00035304">
      <w:pPr>
        <w:pStyle w:val="Obsah3"/>
        <w:rPr>
          <w:rFonts w:asciiTheme="minorHAnsi" w:eastAsiaTheme="minorEastAsia" w:hAnsiTheme="minorHAnsi" w:cstheme="minorBidi"/>
          <w:noProof/>
          <w:sz w:val="22"/>
          <w:szCs w:val="22"/>
          <w:lang w:eastAsia="sk-SK"/>
        </w:rPr>
      </w:pPr>
      <w:hyperlink w:anchor="_Toc94683063" w:history="1">
        <w:r w:rsidR="00E758CB" w:rsidRPr="00D55D73">
          <w:rPr>
            <w:rStyle w:val="Hypertextovprepojenie"/>
            <w:noProof/>
            <w:lang w:eastAsia="cs-CZ"/>
          </w:rPr>
          <w:t>2.4.6</w:t>
        </w:r>
        <w:r w:rsidR="00E758CB">
          <w:rPr>
            <w:rFonts w:asciiTheme="minorHAnsi" w:eastAsiaTheme="minorEastAsia" w:hAnsiTheme="minorHAnsi" w:cstheme="minorBidi"/>
            <w:noProof/>
            <w:sz w:val="22"/>
            <w:szCs w:val="22"/>
            <w:lang w:eastAsia="sk-SK"/>
          </w:rPr>
          <w:tab/>
        </w:r>
        <w:r w:rsidR="00E758CB" w:rsidRPr="00D55D73">
          <w:rPr>
            <w:rStyle w:val="Hypertextovprepojenie"/>
            <w:caps/>
            <w:noProof/>
            <w:lang w:eastAsia="cs-CZ"/>
          </w:rPr>
          <w:t>Ú</w:t>
        </w:r>
        <w:r w:rsidR="00E758CB" w:rsidRPr="00D55D73">
          <w:rPr>
            <w:rStyle w:val="Hypertextovprepojenie"/>
            <w:noProof/>
            <w:lang w:eastAsia="cs-CZ"/>
          </w:rPr>
          <w:t>čtovné doklady a ich prílohy</w:t>
        </w:r>
        <w:r w:rsidR="00E758CB">
          <w:rPr>
            <w:noProof/>
            <w:webHidden/>
          </w:rPr>
          <w:tab/>
        </w:r>
        <w:r w:rsidR="00E758CB">
          <w:rPr>
            <w:noProof/>
            <w:webHidden/>
          </w:rPr>
          <w:fldChar w:fldCharType="begin"/>
        </w:r>
        <w:r w:rsidR="00E758CB">
          <w:rPr>
            <w:noProof/>
            <w:webHidden/>
          </w:rPr>
          <w:instrText xml:space="preserve"> PAGEREF _Toc94683063 \h </w:instrText>
        </w:r>
        <w:r w:rsidR="00E758CB">
          <w:rPr>
            <w:noProof/>
            <w:webHidden/>
          </w:rPr>
        </w:r>
        <w:r w:rsidR="00E758CB">
          <w:rPr>
            <w:noProof/>
            <w:webHidden/>
          </w:rPr>
          <w:fldChar w:fldCharType="separate"/>
        </w:r>
        <w:r w:rsidR="007F09E9">
          <w:rPr>
            <w:noProof/>
            <w:webHidden/>
          </w:rPr>
          <w:t>74</w:t>
        </w:r>
        <w:r w:rsidR="00E758CB">
          <w:rPr>
            <w:noProof/>
            <w:webHidden/>
          </w:rPr>
          <w:fldChar w:fldCharType="end"/>
        </w:r>
      </w:hyperlink>
    </w:p>
    <w:p w14:paraId="571E5779" w14:textId="71D0A391" w:rsidR="00E758CB" w:rsidRDefault="006E55AE">
      <w:pPr>
        <w:pStyle w:val="Obsah3"/>
        <w:rPr>
          <w:rFonts w:asciiTheme="minorHAnsi" w:eastAsiaTheme="minorEastAsia" w:hAnsiTheme="minorHAnsi" w:cstheme="minorBidi"/>
          <w:noProof/>
          <w:sz w:val="22"/>
          <w:szCs w:val="22"/>
          <w:lang w:eastAsia="sk-SK"/>
        </w:rPr>
      </w:pPr>
      <w:hyperlink w:anchor="_Toc94683064" w:history="1">
        <w:r w:rsidR="00E758CB" w:rsidRPr="00D55D73">
          <w:rPr>
            <w:rStyle w:val="Hypertextovprepojenie"/>
            <w:noProof/>
          </w:rPr>
          <w:t>2.4.7</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Nezrovnalosti a vysporiadanie finančných vzťahov</w:t>
        </w:r>
        <w:r w:rsidR="00E758CB">
          <w:rPr>
            <w:noProof/>
            <w:webHidden/>
          </w:rPr>
          <w:tab/>
        </w:r>
        <w:r w:rsidR="00E758CB">
          <w:rPr>
            <w:noProof/>
            <w:webHidden/>
          </w:rPr>
          <w:fldChar w:fldCharType="begin"/>
        </w:r>
        <w:r w:rsidR="00E758CB">
          <w:rPr>
            <w:noProof/>
            <w:webHidden/>
          </w:rPr>
          <w:instrText xml:space="preserve"> PAGEREF _Toc94683064 \h </w:instrText>
        </w:r>
        <w:r w:rsidR="00E758CB">
          <w:rPr>
            <w:noProof/>
            <w:webHidden/>
          </w:rPr>
        </w:r>
        <w:r w:rsidR="00E758CB">
          <w:rPr>
            <w:noProof/>
            <w:webHidden/>
          </w:rPr>
          <w:fldChar w:fldCharType="separate"/>
        </w:r>
        <w:r w:rsidR="007F09E9">
          <w:rPr>
            <w:noProof/>
            <w:webHidden/>
          </w:rPr>
          <w:t>90</w:t>
        </w:r>
        <w:r w:rsidR="00E758CB">
          <w:rPr>
            <w:noProof/>
            <w:webHidden/>
          </w:rPr>
          <w:fldChar w:fldCharType="end"/>
        </w:r>
      </w:hyperlink>
    </w:p>
    <w:p w14:paraId="420E936D" w14:textId="6C1FD554"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5" w:history="1">
        <w:r w:rsidR="00E758CB" w:rsidRPr="00D55D73">
          <w:rPr>
            <w:rStyle w:val="Hypertextovprepojenie"/>
            <w:noProof/>
          </w:rPr>
          <w:t>2.5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Verejné obstarávanie</w:t>
        </w:r>
        <w:r w:rsidR="00E758CB">
          <w:rPr>
            <w:noProof/>
            <w:webHidden/>
          </w:rPr>
          <w:tab/>
        </w:r>
        <w:r w:rsidR="00E758CB">
          <w:rPr>
            <w:noProof/>
            <w:webHidden/>
          </w:rPr>
          <w:fldChar w:fldCharType="begin"/>
        </w:r>
        <w:r w:rsidR="00E758CB">
          <w:rPr>
            <w:noProof/>
            <w:webHidden/>
          </w:rPr>
          <w:instrText xml:space="preserve"> PAGEREF _Toc94683065 \h </w:instrText>
        </w:r>
        <w:r w:rsidR="00E758CB">
          <w:rPr>
            <w:noProof/>
            <w:webHidden/>
          </w:rPr>
        </w:r>
        <w:r w:rsidR="00E758CB">
          <w:rPr>
            <w:noProof/>
            <w:webHidden/>
          </w:rPr>
          <w:fldChar w:fldCharType="separate"/>
        </w:r>
        <w:r w:rsidR="007F09E9">
          <w:rPr>
            <w:noProof/>
            <w:webHidden/>
          </w:rPr>
          <w:t>95</w:t>
        </w:r>
        <w:r w:rsidR="00E758CB">
          <w:rPr>
            <w:noProof/>
            <w:webHidden/>
          </w:rPr>
          <w:fldChar w:fldCharType="end"/>
        </w:r>
      </w:hyperlink>
    </w:p>
    <w:p w14:paraId="443A879A" w14:textId="1C47E7B0" w:rsidR="00E758CB" w:rsidRDefault="006E55AE">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6" w:history="1">
        <w:r w:rsidR="00E758CB" w:rsidRPr="00D55D73">
          <w:rPr>
            <w:rStyle w:val="Hypertextovprepojenie"/>
            <w:noProof/>
          </w:rPr>
          <w:t>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Kontrola a overovanie oprávnenosti výdavkov</w:t>
        </w:r>
        <w:r w:rsidR="00E758CB">
          <w:rPr>
            <w:noProof/>
            <w:webHidden/>
          </w:rPr>
          <w:tab/>
        </w:r>
        <w:r w:rsidR="00E758CB">
          <w:rPr>
            <w:noProof/>
            <w:webHidden/>
          </w:rPr>
          <w:fldChar w:fldCharType="begin"/>
        </w:r>
        <w:r w:rsidR="00E758CB">
          <w:rPr>
            <w:noProof/>
            <w:webHidden/>
          </w:rPr>
          <w:instrText xml:space="preserve"> PAGEREF _Toc94683066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1470F1F8" w14:textId="0D8FFB45"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7" w:history="1">
        <w:r w:rsidR="00E758CB" w:rsidRPr="00D55D73">
          <w:rPr>
            <w:rStyle w:val="Hypertextovprepojenie"/>
            <w:noProof/>
          </w:rPr>
          <w:t>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Administratívna finančná kontrola</w:t>
        </w:r>
        <w:r w:rsidR="00E758CB">
          <w:rPr>
            <w:noProof/>
            <w:webHidden/>
          </w:rPr>
          <w:tab/>
        </w:r>
        <w:r w:rsidR="00E758CB">
          <w:rPr>
            <w:noProof/>
            <w:webHidden/>
          </w:rPr>
          <w:fldChar w:fldCharType="begin"/>
        </w:r>
        <w:r w:rsidR="00E758CB">
          <w:rPr>
            <w:noProof/>
            <w:webHidden/>
          </w:rPr>
          <w:instrText xml:space="preserve"> PAGEREF _Toc94683067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4BFF7476" w14:textId="67A73F9C" w:rsidR="00E758CB" w:rsidRDefault="006E55AE">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8" w:history="1">
        <w:r w:rsidR="00E758CB" w:rsidRPr="00D55D73">
          <w:rPr>
            <w:rStyle w:val="Hypertextovprepojenie"/>
            <w:noProof/>
          </w:rPr>
          <w:t>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Finančná kontrola na mieste</w:t>
        </w:r>
        <w:r w:rsidR="00E758CB">
          <w:rPr>
            <w:noProof/>
            <w:webHidden/>
          </w:rPr>
          <w:tab/>
        </w:r>
        <w:r w:rsidR="00E758CB">
          <w:rPr>
            <w:noProof/>
            <w:webHidden/>
          </w:rPr>
          <w:fldChar w:fldCharType="begin"/>
        </w:r>
        <w:r w:rsidR="00E758CB">
          <w:rPr>
            <w:noProof/>
            <w:webHidden/>
          </w:rPr>
          <w:instrText xml:space="preserve"> PAGEREF _Toc94683068 \h </w:instrText>
        </w:r>
        <w:r w:rsidR="00E758CB">
          <w:rPr>
            <w:noProof/>
            <w:webHidden/>
          </w:rPr>
        </w:r>
        <w:r w:rsidR="00E758CB">
          <w:rPr>
            <w:noProof/>
            <w:webHidden/>
          </w:rPr>
          <w:fldChar w:fldCharType="separate"/>
        </w:r>
        <w:r w:rsidR="007F09E9">
          <w:rPr>
            <w:noProof/>
            <w:webHidden/>
          </w:rPr>
          <w:t>100</w:t>
        </w:r>
        <w:r w:rsidR="00E758CB">
          <w:rPr>
            <w:noProof/>
            <w:webHidden/>
          </w:rPr>
          <w:fldChar w:fldCharType="end"/>
        </w:r>
      </w:hyperlink>
    </w:p>
    <w:p w14:paraId="2223A3A4" w14:textId="164030B2" w:rsidR="00E758CB" w:rsidRDefault="006E55AE">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9" w:history="1">
        <w:r w:rsidR="00E758CB" w:rsidRPr="00D55D73">
          <w:rPr>
            <w:rStyle w:val="Hypertextovprepojenie"/>
            <w:noProof/>
          </w:rPr>
          <w:t>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Prechodné a záverečné ustanovenia</w:t>
        </w:r>
        <w:r w:rsidR="00E758CB">
          <w:rPr>
            <w:noProof/>
            <w:webHidden/>
          </w:rPr>
          <w:tab/>
        </w:r>
        <w:r w:rsidR="00E758CB">
          <w:rPr>
            <w:noProof/>
            <w:webHidden/>
          </w:rPr>
          <w:fldChar w:fldCharType="begin"/>
        </w:r>
        <w:r w:rsidR="00E758CB">
          <w:rPr>
            <w:noProof/>
            <w:webHidden/>
          </w:rPr>
          <w:instrText xml:space="preserve"> PAGEREF _Toc94683069 \h </w:instrText>
        </w:r>
        <w:r w:rsidR="00E758CB">
          <w:rPr>
            <w:noProof/>
            <w:webHidden/>
          </w:rPr>
        </w:r>
        <w:r w:rsidR="00E758CB">
          <w:rPr>
            <w:noProof/>
            <w:webHidden/>
          </w:rPr>
          <w:fldChar w:fldCharType="separate"/>
        </w:r>
        <w:r w:rsidR="007F09E9">
          <w:rPr>
            <w:noProof/>
            <w:webHidden/>
          </w:rPr>
          <w:t>107</w:t>
        </w:r>
        <w:r w:rsidR="00E758CB">
          <w:rPr>
            <w:noProof/>
            <w:webHidden/>
          </w:rPr>
          <w:fldChar w:fldCharType="end"/>
        </w:r>
      </w:hyperlink>
    </w:p>
    <w:p w14:paraId="4C499D13" w14:textId="3798DB28" w:rsidR="00E758CB" w:rsidRDefault="006E55AE">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70" w:history="1">
        <w:r w:rsidR="00E758CB" w:rsidRPr="00D55D73">
          <w:rPr>
            <w:rStyle w:val="Hypertextovprepojenie"/>
            <w:noProof/>
          </w:rPr>
          <w:t>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Prílohy</w:t>
        </w:r>
        <w:r w:rsidR="00E758CB">
          <w:rPr>
            <w:noProof/>
            <w:webHidden/>
          </w:rPr>
          <w:tab/>
        </w:r>
        <w:r w:rsidR="00E758CB">
          <w:rPr>
            <w:noProof/>
            <w:webHidden/>
          </w:rPr>
          <w:fldChar w:fldCharType="begin"/>
        </w:r>
        <w:r w:rsidR="00E758CB">
          <w:rPr>
            <w:noProof/>
            <w:webHidden/>
          </w:rPr>
          <w:instrText xml:space="preserve"> PAGEREF _Toc94683070 \h </w:instrText>
        </w:r>
        <w:r w:rsidR="00E758CB">
          <w:rPr>
            <w:noProof/>
            <w:webHidden/>
          </w:rPr>
        </w:r>
        <w:r w:rsidR="00E758CB">
          <w:rPr>
            <w:noProof/>
            <w:webHidden/>
          </w:rPr>
          <w:fldChar w:fldCharType="separate"/>
        </w:r>
        <w:r w:rsidR="007F09E9">
          <w:rPr>
            <w:noProof/>
            <w:webHidden/>
          </w:rPr>
          <w:t>108</w:t>
        </w:r>
        <w:r w:rsidR="00E758CB">
          <w:rPr>
            <w:noProof/>
            <w:webHidden/>
          </w:rPr>
          <w:fldChar w:fldCharType="end"/>
        </w:r>
      </w:hyperlink>
    </w:p>
    <w:p w14:paraId="3F1BBB38" w14:textId="7E1C53BC" w:rsidR="00E758CB" w:rsidRDefault="006E55AE">
      <w:pPr>
        <w:pStyle w:val="Obsah1"/>
        <w:tabs>
          <w:tab w:val="right" w:leader="dot" w:pos="9060"/>
        </w:tabs>
        <w:rPr>
          <w:rFonts w:asciiTheme="minorHAnsi" w:eastAsiaTheme="minorEastAsia" w:hAnsiTheme="minorHAnsi" w:cstheme="minorBidi"/>
          <w:noProof/>
          <w:sz w:val="22"/>
          <w:szCs w:val="22"/>
          <w:lang w:eastAsia="sk-SK"/>
        </w:rPr>
      </w:pPr>
      <w:hyperlink w:anchor="_Toc94683071" w:history="1">
        <w:r w:rsidR="00E758CB" w:rsidRPr="00D55D73">
          <w:rPr>
            <w:rStyle w:val="Hypertextovprepojenie"/>
            <w:noProof/>
          </w:rPr>
          <w:t>6 Sumár najčastejších identifiko-vaných chýb</w:t>
        </w:r>
        <w:r w:rsidR="00E758CB">
          <w:rPr>
            <w:noProof/>
            <w:webHidden/>
          </w:rPr>
          <w:tab/>
        </w:r>
        <w:r w:rsidR="00E758CB">
          <w:rPr>
            <w:noProof/>
            <w:webHidden/>
          </w:rPr>
          <w:fldChar w:fldCharType="begin"/>
        </w:r>
        <w:r w:rsidR="00E758CB">
          <w:rPr>
            <w:noProof/>
            <w:webHidden/>
          </w:rPr>
          <w:instrText xml:space="preserve"> PAGEREF _Toc94683071 \h </w:instrText>
        </w:r>
        <w:r w:rsidR="00E758CB">
          <w:rPr>
            <w:noProof/>
            <w:webHidden/>
          </w:rPr>
        </w:r>
        <w:r w:rsidR="00E758CB">
          <w:rPr>
            <w:noProof/>
            <w:webHidden/>
          </w:rPr>
          <w:fldChar w:fldCharType="separate"/>
        </w:r>
        <w:r w:rsidR="007F09E9">
          <w:rPr>
            <w:noProof/>
            <w:webHidden/>
          </w:rPr>
          <w:t>110</w:t>
        </w:r>
        <w:r w:rsidR="00E758CB">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8827B8" w:rsidRDefault="00AE5A8F" w:rsidP="009F56AB">
      <w:pPr>
        <w:pStyle w:val="Nadpis1"/>
        <w:spacing w:line="288" w:lineRule="auto"/>
        <w:jc w:val="both"/>
        <w:rPr>
          <w:rFonts w:ascii="Arial" w:hAnsi="Arial"/>
          <w:sz w:val="56"/>
          <w:lang w:val="sk-SK"/>
        </w:rPr>
      </w:pPr>
      <w:bookmarkStart w:id="1" w:name="_Toc440372853"/>
      <w:bookmarkStart w:id="2" w:name="_Toc94683042"/>
      <w:r w:rsidRPr="008827B8">
        <w:rPr>
          <w:rFonts w:ascii="Arial" w:hAnsi="Arial"/>
          <w:sz w:val="56"/>
          <w:lang w:val="sk-SK"/>
        </w:rPr>
        <w:lastRenderedPageBreak/>
        <w:t>Úvod</w:t>
      </w:r>
      <w:bookmarkEnd w:id="0"/>
      <w:bookmarkEnd w:id="1"/>
      <w:bookmarkEnd w:id="2"/>
    </w:p>
    <w:p w14:paraId="65E8E028"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9468304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7AACCFAA" w:rsidR="002F0379" w:rsidRPr="008827B8" w:rsidRDefault="00A73798" w:rsidP="002F0379">
      <w:pPr>
        <w:autoSpaceDE w:val="0"/>
        <w:autoSpaceDN w:val="0"/>
        <w:adjustRightInd w:val="0"/>
        <w:spacing w:before="120" w:after="120" w:line="288" w:lineRule="auto"/>
        <w:jc w:val="both"/>
        <w:rPr>
          <w:rStyle w:val="Hypertextovprepojenie"/>
          <w:szCs w:val="19"/>
        </w:rPr>
      </w:pPr>
      <w:r w:rsidRPr="007F09E9">
        <w:rPr>
          <w:szCs w:val="19"/>
        </w:rPr>
        <w:t>S</w:t>
      </w:r>
      <w:r w:rsidR="00C709A5" w:rsidRPr="007F09E9">
        <w:rPr>
          <w:szCs w:val="19"/>
        </w:rPr>
        <w:t> účinnosťou od 15.</w:t>
      </w:r>
      <w:r w:rsidR="004D61A7" w:rsidRPr="007F09E9">
        <w:rPr>
          <w:bCs/>
          <w:szCs w:val="19"/>
        </w:rPr>
        <w:t xml:space="preserve"> </w:t>
      </w:r>
      <w:r w:rsidR="00C709A5" w:rsidRPr="007F09E9">
        <w:rPr>
          <w:szCs w:val="19"/>
        </w:rPr>
        <w:t>06.</w:t>
      </w:r>
      <w:r w:rsidR="004D61A7" w:rsidRPr="007F09E9">
        <w:rPr>
          <w:bCs/>
          <w:szCs w:val="19"/>
        </w:rPr>
        <w:t xml:space="preserve"> </w:t>
      </w:r>
      <w:r w:rsidR="00C709A5" w:rsidRPr="007F09E9">
        <w:rPr>
          <w:szCs w:val="19"/>
        </w:rPr>
        <w:t xml:space="preserve">2021  spôsoboch kontroly projektov, kontrolu/finančnú kontrolu VO upravuje </w:t>
      </w:r>
      <w:r w:rsidR="002F0379" w:rsidRPr="007F09E9">
        <w:rPr>
          <w:bCs/>
          <w:szCs w:val="19"/>
        </w:rPr>
        <w:t>„</w:t>
      </w:r>
      <w:r w:rsidR="00C709A5" w:rsidRPr="007F09E9">
        <w:rPr>
          <w:rFonts w:cs="Arial"/>
          <w:szCs w:val="19"/>
          <w:lang w:eastAsia="sk-SK"/>
        </w:rPr>
        <w:t>Jednotná príručka pre žiadateľov/prijímateľov</w:t>
      </w:r>
      <w:r w:rsidR="002F0379" w:rsidRPr="007F09E9">
        <w:rPr>
          <w:rFonts w:cs="Arial"/>
          <w:szCs w:val="19"/>
          <w:lang w:eastAsia="sk-SK"/>
        </w:rPr>
        <w:t xml:space="preserve"> k procesu a kontrole </w:t>
      </w:r>
      <w:r w:rsidR="002F0379" w:rsidRPr="007F09E9">
        <w:rPr>
          <w:rFonts w:cs="Arial"/>
          <w:szCs w:val="19"/>
        </w:rPr>
        <w:t>verejného obstarávania/</w:t>
      </w:r>
      <w:r w:rsidR="002F0379" w:rsidRPr="007F09E9">
        <w:rPr>
          <w:rFonts w:cs="Arial"/>
          <w:szCs w:val="19"/>
          <w:lang w:eastAsia="sk-SK"/>
        </w:rPr>
        <w:t>obstarávania“</w:t>
      </w:r>
      <w:r w:rsidR="00D706D4" w:rsidRPr="007F09E9">
        <w:rPr>
          <w:rFonts w:cs="Arial"/>
          <w:szCs w:val="19"/>
          <w:lang w:eastAsia="sk-SK"/>
        </w:rPr>
        <w:t xml:space="preserve"> (ďalej len Jednotná príručka k VO</w:t>
      </w:r>
      <w:r w:rsidR="00CA64B9" w:rsidRPr="007F09E9">
        <w:rPr>
          <w:rStyle w:val="Odkaznapoznmkupodiarou"/>
          <w:rFonts w:cs="Arial"/>
          <w:sz w:val="19"/>
          <w:szCs w:val="19"/>
          <w:lang w:eastAsia="sk-SK"/>
        </w:rPr>
        <w:footnoteReference w:id="2"/>
      </w:r>
      <w:r w:rsidR="00D706D4" w:rsidRPr="007F09E9">
        <w:rPr>
          <w:rFonts w:cs="Arial"/>
          <w:szCs w:val="19"/>
          <w:lang w:eastAsia="sk-SK"/>
        </w:rPr>
        <w:t xml:space="preserve">) </w:t>
      </w:r>
      <w:r w:rsidR="002F0379" w:rsidRPr="007F09E9">
        <w:rPr>
          <w:rFonts w:cs="Arial"/>
          <w:szCs w:val="19"/>
          <w:lang w:eastAsia="sk-SK"/>
        </w:rPr>
        <w:t xml:space="preserve"> zverejnená na </w:t>
      </w:r>
      <w:r w:rsidR="002F0379" w:rsidRPr="007F09E9">
        <w:rPr>
          <w:szCs w:val="19"/>
        </w:rPr>
        <w:t>webovom sídle poskytovateľa</w:t>
      </w:r>
      <w:r w:rsidR="002F0379" w:rsidRPr="008827B8">
        <w:rPr>
          <w:szCs w:val="19"/>
        </w:rPr>
        <w:t xml:space="preserve">: </w:t>
      </w:r>
      <w:hyperlink r:id="rId14" w:history="1">
        <w:r w:rsidR="002F0379" w:rsidRPr="008827B8">
          <w:rPr>
            <w:rStyle w:val="Hypertextovprepojenie"/>
            <w:szCs w:val="19"/>
          </w:rPr>
          <w:t>http://www.reformuj.sk/dokument/projektove-dokumenty/</w:t>
        </w:r>
      </w:hyperlink>
      <w:r w:rsidR="00080FF6" w:rsidRPr="008827B8">
        <w:rPr>
          <w:rStyle w:val="Hypertextovprepojenie"/>
          <w:color w:val="auto"/>
          <w:szCs w:val="19"/>
          <w:u w:val="none"/>
        </w:rPr>
        <w:t xml:space="preserve"> a</w:t>
      </w:r>
      <w:r w:rsidR="0008145D" w:rsidRPr="008827B8">
        <w:rPr>
          <w:rStyle w:val="Hypertextovprepojenie"/>
          <w:color w:val="auto"/>
          <w:szCs w:val="19"/>
          <w:u w:val="none"/>
        </w:rPr>
        <w:t xml:space="preserve"> na </w:t>
      </w:r>
      <w:r w:rsidR="00080FF6" w:rsidRPr="008827B8">
        <w:rPr>
          <w:rStyle w:val="Hypertextovprepojenie"/>
          <w:color w:val="auto"/>
          <w:szCs w:val="19"/>
          <w:u w:val="none"/>
        </w:rPr>
        <w:t>webovom sídle CKO:</w:t>
      </w:r>
      <w:r w:rsidR="00080FF6" w:rsidRPr="008827B8">
        <w:rPr>
          <w:rStyle w:val="Hypertextovprepojenie"/>
          <w:color w:val="auto"/>
          <w:szCs w:val="19"/>
        </w:rPr>
        <w:t xml:space="preserve"> </w:t>
      </w:r>
      <w:hyperlink r:id="rId15" w:history="1">
        <w:r w:rsidR="00080FF6" w:rsidRPr="008827B8">
          <w:rPr>
            <w:rStyle w:val="Hypertextovprepojenie"/>
            <w:szCs w:val="19"/>
          </w:rPr>
          <w:t>https://www.partnerskadohoda.gov.sk/zakladne-dokumenty/</w:t>
        </w:r>
      </w:hyperlink>
      <w:r w:rsidR="0008145D" w:rsidRPr="008827B8">
        <w:rPr>
          <w:rStyle w:val="Hypertextovprepojenie"/>
          <w:color w:val="auto"/>
          <w:szCs w:val="19"/>
        </w:rPr>
        <w:t>.</w:t>
      </w:r>
    </w:p>
    <w:p w14:paraId="6E5D0A05" w14:textId="3FE565A3" w:rsidR="00C709A5" w:rsidRPr="008827B8" w:rsidRDefault="008A37E6" w:rsidP="008827B8">
      <w:pPr>
        <w:autoSpaceDE w:val="0"/>
        <w:autoSpaceDN w:val="0"/>
        <w:adjustRightInd w:val="0"/>
        <w:spacing w:before="120" w:after="120"/>
        <w:jc w:val="both"/>
        <w:rPr>
          <w:sz w:val="20"/>
        </w:rPr>
      </w:pPr>
      <w:r w:rsidRPr="008827B8">
        <w:rPr>
          <w:szCs w:val="19"/>
        </w:rPr>
        <w:t>S účinnosťou od 17.</w:t>
      </w:r>
      <w:r w:rsidR="00803762" w:rsidRPr="007F09E9">
        <w:rPr>
          <w:szCs w:val="19"/>
        </w:rPr>
        <w:t>0</w:t>
      </w:r>
      <w:r w:rsidRPr="008827B8">
        <w:rPr>
          <w:szCs w:val="19"/>
        </w:rPr>
        <w:t xml:space="preserve">6.2022 </w:t>
      </w:r>
      <w:r w:rsidR="0065498C" w:rsidRPr="008827B8">
        <w:rPr>
          <w:szCs w:val="19"/>
        </w:rPr>
        <w:t xml:space="preserve">upravuje spôsob predkladania dokumentácie k žiadosti o platbu, kde prijímateľom je ministerstvo alebo ostatný </w:t>
      </w:r>
      <w:r w:rsidR="000D3959" w:rsidRPr="007F09E9">
        <w:rPr>
          <w:szCs w:val="19"/>
        </w:rPr>
        <w:t xml:space="preserve">ústredný </w:t>
      </w:r>
      <w:r w:rsidR="0065498C" w:rsidRPr="008827B8">
        <w:rPr>
          <w:szCs w:val="19"/>
        </w:rPr>
        <w:t>orgán štátnej správy</w:t>
      </w:r>
      <w:r w:rsidR="00435BC5" w:rsidRPr="007F09E9">
        <w:rPr>
          <w:rStyle w:val="Odkaznapoznmkupodiarou"/>
          <w:sz w:val="19"/>
          <w:szCs w:val="19"/>
        </w:rPr>
        <w:footnoteReference w:id="3"/>
      </w:r>
      <w:r w:rsidR="0008145D" w:rsidRPr="007F09E9">
        <w:rPr>
          <w:szCs w:val="19"/>
        </w:rPr>
        <w:t xml:space="preserve"> alebo organizácie v ich zriaďovateľskej pôsobnosti</w:t>
      </w:r>
      <w:r w:rsidR="0065498C" w:rsidRPr="008827B8">
        <w:rPr>
          <w:szCs w:val="19"/>
        </w:rPr>
        <w:t xml:space="preserve"> „Jednotná príručka k predkladaniu dokumentácie k žiadosti o platbu, kde prijímateľom je ministerstvo alebo ostatný ústredný orgán štátnej správy</w:t>
      </w:r>
      <w:r w:rsidR="0065498C" w:rsidRPr="007F09E9">
        <w:rPr>
          <w:szCs w:val="19"/>
        </w:rPr>
        <w:t>“ (ďalej len Jednotná príručka</w:t>
      </w:r>
      <w:r w:rsidR="0065498C" w:rsidRPr="008827B8">
        <w:rPr>
          <w:sz w:val="20"/>
        </w:rPr>
        <w:t xml:space="preserve"> </w:t>
      </w:r>
      <w:r w:rsidR="00F32954">
        <w:rPr>
          <w:sz w:val="20"/>
        </w:rPr>
        <w:t xml:space="preserve">k </w:t>
      </w:r>
      <w:r w:rsidR="0065498C" w:rsidRPr="007F09E9">
        <w:rPr>
          <w:szCs w:val="19"/>
        </w:rPr>
        <w:lastRenderedPageBreak/>
        <w:t>ŽoP</w:t>
      </w:r>
      <w:r w:rsidR="0065498C" w:rsidRPr="007F09E9">
        <w:rPr>
          <w:rStyle w:val="Odkaznapoznmkupodiarou"/>
          <w:sz w:val="19"/>
          <w:szCs w:val="19"/>
        </w:rPr>
        <w:footnoteReference w:id="4"/>
      </w:r>
      <w:r w:rsidR="0065498C" w:rsidRPr="007F09E9">
        <w:rPr>
          <w:szCs w:val="19"/>
        </w:rPr>
        <w:t xml:space="preserve">) </w:t>
      </w:r>
      <w:r w:rsidR="0065498C" w:rsidRPr="007F09E9">
        <w:rPr>
          <w:rFonts w:cs="Arial"/>
          <w:szCs w:val="19"/>
          <w:lang w:eastAsia="sk-SK"/>
        </w:rPr>
        <w:t xml:space="preserve">zverejnená </w:t>
      </w:r>
      <w:r w:rsidR="0008145D" w:rsidRPr="007F09E9">
        <w:rPr>
          <w:rFonts w:cs="Arial"/>
          <w:szCs w:val="19"/>
          <w:lang w:eastAsia="sk-SK"/>
        </w:rPr>
        <w:t xml:space="preserve">na webovom sídle poskytovateľa: </w:t>
      </w:r>
      <w:hyperlink r:id="rId16" w:history="1">
        <w:r w:rsidR="0008145D" w:rsidRPr="007F09E9">
          <w:rPr>
            <w:rStyle w:val="Hypertextovprepojenie"/>
            <w:rFonts w:cs="Arial"/>
            <w:szCs w:val="19"/>
            <w:lang w:eastAsia="sk-SK"/>
          </w:rPr>
          <w:t>http://www.reformuj.sk/dokument/projektove-dokumenty/</w:t>
        </w:r>
      </w:hyperlink>
      <w:r w:rsidR="0008145D" w:rsidRPr="007F09E9">
        <w:rPr>
          <w:rFonts w:cs="Arial"/>
          <w:szCs w:val="19"/>
          <w:lang w:eastAsia="sk-SK"/>
        </w:rPr>
        <w:t xml:space="preserve"> a na webovom sídle CKO: </w:t>
      </w:r>
      <w:hyperlink r:id="rId17" w:history="1">
        <w:r w:rsidR="0008145D" w:rsidRPr="007F09E9">
          <w:rPr>
            <w:rStyle w:val="Hypertextovprepojenie"/>
            <w:rFonts w:cs="Arial"/>
            <w:szCs w:val="19"/>
            <w:lang w:eastAsia="sk-SK"/>
          </w:rPr>
          <w:t>https://www.partnerskadohoda.gov.sk/zakladne-dokumenty/</w:t>
        </w:r>
      </w:hyperlink>
      <w:r w:rsidR="0008145D" w:rsidRPr="007F09E9">
        <w:rPr>
          <w:rFonts w:cs="Arial"/>
          <w:szCs w:val="19"/>
          <w:lang w:eastAsia="sk-SK"/>
        </w:rPr>
        <w:t>.</w:t>
      </w:r>
      <w:r w:rsidR="0008145D" w:rsidRPr="008827B8">
        <w:rPr>
          <w:rFonts w:cs="Arial"/>
          <w:sz w:val="20"/>
          <w:szCs w:val="19"/>
          <w:lang w:eastAsia="sk-SK"/>
        </w:rPr>
        <w:t xml:space="preserve"> </w:t>
      </w:r>
    </w:p>
    <w:p w14:paraId="59F5C06C"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94683044"/>
      <w:r w:rsidRPr="0073389C">
        <w:rPr>
          <w:lang w:val="sk-SK"/>
        </w:rPr>
        <w:t>Cieľ príručky pre prijímateľa</w:t>
      </w:r>
      <w:bookmarkEnd w:id="6"/>
      <w:bookmarkEnd w:id="7"/>
      <w:bookmarkEnd w:id="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5"/>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94683045"/>
      <w:r w:rsidRPr="0073389C">
        <w:rPr>
          <w:lang w:val="sk-SK"/>
        </w:rPr>
        <w:t>Definícia pojmov</w:t>
      </w:r>
      <w:bookmarkEnd w:id="9"/>
      <w:bookmarkEnd w:id="10"/>
      <w:bookmarkEnd w:id="1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w:t>
      </w:r>
      <w:r w:rsidR="00A60FAE" w:rsidRPr="00591C6C">
        <w:rPr>
          <w:rFonts w:cs="Arial"/>
          <w:szCs w:val="19"/>
          <w:lang w:val="sk-SK"/>
        </w:rPr>
        <w:lastRenderedPageBreak/>
        <w:t xml:space="preserve">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koniec lehoty stanovený na konkrétny deň a ten pripadne na 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6"/>
      </w:r>
      <w:r w:rsidRPr="0029700B">
        <w:rPr>
          <w:rFonts w:cs="Arial"/>
          <w:b/>
          <w:szCs w:val="19"/>
          <w:lang w:val="sk-SK"/>
        </w:rPr>
        <w:t>, Poskytovateľ pomoci</w:t>
      </w:r>
      <w:r w:rsidRPr="0073389C">
        <w:rPr>
          <w:rStyle w:val="Odkaznapoznmkupodiarou"/>
          <w:rFonts w:cs="Arial"/>
          <w:sz w:val="19"/>
          <w:szCs w:val="19"/>
          <w:lang w:val="sk-SK"/>
        </w:rPr>
        <w:footnoteReference w:id="7"/>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 xml:space="preserve">verejnená verzia uvedeného dokumentu na webovom </w:t>
      </w:r>
      <w:r w:rsidR="00C6030F" w:rsidRPr="0073389C">
        <w:rPr>
          <w:szCs w:val="19"/>
          <w:lang w:val="sk-SK"/>
        </w:rPr>
        <w:lastRenderedPageBreak/>
        <w:t>sídle CKO</w:t>
      </w:r>
      <w:r w:rsidR="00752BD0">
        <w:rPr>
          <w:szCs w:val="19"/>
          <w:lang w:val="sk-SK"/>
        </w:rPr>
        <w:t xml:space="preserve"> </w:t>
      </w:r>
      <w:hyperlink r:id="rId18"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2" w:name="_Toc410907847"/>
      <w:bookmarkStart w:id="13" w:name="_Toc440372857"/>
      <w:bookmarkStart w:id="14" w:name="_Toc94683046"/>
      <w:r>
        <w:rPr>
          <w:lang w:val="sk-SK"/>
        </w:rPr>
        <w:lastRenderedPageBreak/>
        <w:t>Použité s</w:t>
      </w:r>
      <w:r w:rsidR="00AE5A8F" w:rsidRPr="0073389C">
        <w:rPr>
          <w:lang w:val="sk-SK"/>
        </w:rPr>
        <w:t>kratky</w:t>
      </w:r>
      <w:bookmarkEnd w:id="12"/>
      <w:bookmarkEnd w:id="13"/>
      <w:bookmarkEnd w:id="14"/>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5" w:name="_Toc440372858"/>
      <w:bookmarkStart w:id="16" w:name="_Toc94683047"/>
      <w:r w:rsidRPr="0073389C">
        <w:rPr>
          <w:lang w:val="sk-SK"/>
        </w:rPr>
        <w:lastRenderedPageBreak/>
        <w:t>Legislatíva</w:t>
      </w:r>
      <w:bookmarkEnd w:id="15"/>
      <w:bookmarkEnd w:id="16"/>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94683048"/>
      <w:r w:rsidRPr="0073389C">
        <w:rPr>
          <w:rFonts w:ascii="Arial" w:hAnsi="Arial"/>
          <w:lang w:val="sk-SK"/>
        </w:rPr>
        <w:lastRenderedPageBreak/>
        <w:t>Realizácia projektov</w:t>
      </w:r>
      <w:bookmarkEnd w:id="17"/>
      <w:bookmarkEnd w:id="18"/>
      <w:bookmarkEnd w:id="19"/>
    </w:p>
    <w:p w14:paraId="38359EA5"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94683049"/>
      <w:r w:rsidRPr="0073389C">
        <w:rPr>
          <w:lang w:val="sk-SK"/>
        </w:rPr>
        <w:t>Všeobecné informácie k realizácii projektov</w:t>
      </w:r>
      <w:bookmarkEnd w:id="20"/>
      <w:bookmarkEnd w:id="21"/>
      <w:bookmarkEnd w:id="22"/>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94683050"/>
      <w:r w:rsidRPr="0073389C">
        <w:rPr>
          <w:lang w:val="sk-SK"/>
        </w:rPr>
        <w:t>Všeobecné informácie</w:t>
      </w:r>
      <w:bookmarkEnd w:id="23"/>
      <w:bookmarkEnd w:id="24"/>
      <w:bookmarkEnd w:id="25"/>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8"/>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9"/>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94683051"/>
      <w:r w:rsidRPr="0073389C">
        <w:rPr>
          <w:lang w:val="sk-SK"/>
        </w:rPr>
        <w:t>Na čo nezabudnúť po podpise zmluvy</w:t>
      </w:r>
      <w:bookmarkEnd w:id="26"/>
      <w:bookmarkEnd w:id="27"/>
      <w:bookmarkEnd w:id="28"/>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33E7308A" w14:textId="37CFA3BC" w:rsidR="00AD0266" w:rsidRDefault="00EE0832" w:rsidP="004B094A">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w:t>
      </w:r>
      <w:r>
        <w:t>. Z</w:t>
      </w:r>
      <w:r w:rsidRPr="0073389C">
        <w:t xml:space="preserve">ozbierané životopisy </w:t>
      </w:r>
      <w:r>
        <w:t xml:space="preserve">osôb zaradených v Personálnej matici sú prílohou predloženej Personálnej matice, ako aj jej </w:t>
      </w:r>
      <w:r>
        <w:lastRenderedPageBreak/>
        <w:t xml:space="preserve">zmien. </w:t>
      </w:r>
      <w:r w:rsidRPr="00EE0832">
        <w:t>V prípade, že dôjde k zmenám v Personálnej matici, je potrebné priložiť životopisy, ktoré nahradili osoby uvedené v pôvodnej Personálnej matici.</w:t>
      </w:r>
      <w:r w:rsidR="00EE6B61" w:rsidRPr="00EE6B61">
        <w:t xml:space="preserve"> </w:t>
      </w:r>
    </w:p>
    <w:p w14:paraId="0325A843" w14:textId="33C934AC" w:rsidR="00EE0832" w:rsidRPr="00EE0832" w:rsidRDefault="00135BDB" w:rsidP="004B094A">
      <w:pPr>
        <w:spacing w:before="120" w:after="120" w:line="288" w:lineRule="auto"/>
        <w:jc w:val="both"/>
      </w:pPr>
      <w:r>
        <w:t>RO</w:t>
      </w:r>
      <w:r w:rsidR="00EE6B61">
        <w:t xml:space="preserve"> pre OP EVS spracúva</w:t>
      </w:r>
      <w:r w:rsidR="00EE6B61" w:rsidRPr="00EE6B61">
        <w:t xml:space="preserve"> osobn</w:t>
      </w:r>
      <w:r w:rsidR="00EE6B61">
        <w:t>é</w:t>
      </w:r>
      <w:r w:rsidR="00EE6B61" w:rsidRPr="00EE6B61">
        <w:t xml:space="preserve"> údaj</w:t>
      </w:r>
      <w:r w:rsidR="00EE6B61">
        <w:t>e</w:t>
      </w:r>
      <w:r w:rsidR="00EE6B61" w:rsidRPr="00EE6B61">
        <w:t xml:space="preserve"> dotknutých osôb bez nutnosti vyžadovania poskytnutia ich predchádzajúceho súhlasu, a to v zmysle § 47 zákona 292/2014 Z. z.</w:t>
      </w:r>
      <w:r>
        <w:t xml:space="preserve"> Zákona o príspevku z</w:t>
      </w:r>
      <w:r w:rsidR="00C95AC8">
        <w:t> </w:t>
      </w:r>
      <w:r>
        <w:t>EŠIF</w:t>
      </w:r>
      <w:r w:rsidR="00C95AC8">
        <w:t>.</w:t>
      </w:r>
      <w:r w:rsidR="00EE6B61">
        <w:t xml:space="preserve"> </w:t>
      </w:r>
      <w:r w:rsidR="00C95AC8">
        <w:t>O</w:t>
      </w:r>
      <w:r w:rsidR="00EE6B61">
        <w:t> tejto skutočnosti</w:t>
      </w:r>
      <w:r>
        <w:t xml:space="preserve"> </w:t>
      </w:r>
      <w:r w:rsidR="00C95AC8">
        <w:t xml:space="preserve">by mal Prijímateľ </w:t>
      </w:r>
      <w:r>
        <w:t xml:space="preserve">dotknuté osoby </w:t>
      </w:r>
      <w:r w:rsidR="00EE6B61">
        <w:t>informovať</w:t>
      </w:r>
      <w:r>
        <w:t xml:space="preserve"> spôsobom</w:t>
      </w:r>
      <w:r w:rsidR="00833812">
        <w:t>,</w:t>
      </w:r>
      <w:r>
        <w:t xml:space="preserve"> ako je uvedené</w:t>
      </w:r>
      <w:r w:rsidR="00C95AC8">
        <w:t xml:space="preserve"> v </w:t>
      </w:r>
      <w:r w:rsidR="009538E8">
        <w:t>i</w:t>
      </w:r>
      <w:r w:rsidR="00C95AC8" w:rsidRPr="00C95AC8">
        <w:t>nformačn</w:t>
      </w:r>
      <w:r w:rsidR="00C95AC8">
        <w:t>om</w:t>
      </w:r>
      <w:r w:rsidR="00C95AC8" w:rsidRPr="00C95AC8">
        <w:t xml:space="preserve"> list</w:t>
      </w:r>
      <w:r w:rsidR="00C95AC8">
        <w:t>e:</w:t>
      </w:r>
      <w:r>
        <w:t xml:space="preserve">  </w:t>
      </w:r>
      <w:hyperlink r:id="rId19" w:history="1">
        <w:r w:rsidRPr="00623B56">
          <w:rPr>
            <w:rStyle w:val="Hypertextovprepojenie"/>
          </w:rPr>
          <w:t>https://www.minv.sk/swift_data/source/mvsr_a_eu/gdpr/Informacny%20list%20ak%20neboli%20osobne%20udaje%20ziskane%20od%20dotknutej%20osoby.pdf</w:t>
        </w:r>
      </w:hyperlink>
      <w:r>
        <w:t>.</w:t>
      </w:r>
    </w:p>
    <w:p w14:paraId="56B4C1FE" w14:textId="1335B9FB" w:rsidR="00492025" w:rsidRPr="0073389C" w:rsidRDefault="00EE0832" w:rsidP="007B5322">
      <w:pPr>
        <w:spacing w:before="120" w:after="120" w:line="288" w:lineRule="auto"/>
        <w:jc w:val="both"/>
      </w:pPr>
      <w:r w:rsidRPr="00EE0832">
        <w:t>Zároveň je Prijímateľ povinný zozbierané životopisy archivovať tak, aby prijímateľ bol schopný predložiť požadované životopisy kontrolnej skupine v prípade finančnej kontroly na mieste zo strany poskytovateľa.</w:t>
      </w:r>
      <w:r>
        <w:t xml:space="preserve"> </w:t>
      </w:r>
      <w:r w:rsidR="00492025" w:rsidRPr="0073389C">
        <w:t>Personálna matica</w:t>
      </w:r>
      <w:r w:rsidR="00702314">
        <w:rPr>
          <w:rStyle w:val="Odkaznapoznmkupodiarou"/>
        </w:rPr>
        <w:footnoteReference w:id="10"/>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11"/>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2"/>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94683052"/>
      <w:r w:rsidRPr="0073389C">
        <w:rPr>
          <w:lang w:val="sk-SK"/>
        </w:rPr>
        <w:lastRenderedPageBreak/>
        <w:t>Monitorovanie projektu</w:t>
      </w:r>
      <w:bookmarkEnd w:id="29"/>
      <w:bookmarkEnd w:id="30"/>
      <w:bookmarkEnd w:id="31"/>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3"/>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4"/>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lastRenderedPageBreak/>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5"/>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6"/>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7"/>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8"/>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lastRenderedPageBreak/>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9"/>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20"/>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lastRenderedPageBreak/>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21"/>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2" w:name="_Toc440372864"/>
      <w:bookmarkStart w:id="33" w:name="_Toc9468305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2"/>
      <w:bookmarkEnd w:id="33"/>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4" w:name="_Toc440372865"/>
      <w:bookmarkStart w:id="35" w:name="_Toc94683054"/>
      <w:r w:rsidRPr="0073389C">
        <w:rPr>
          <w:lang w:val="sk-SK"/>
        </w:rPr>
        <w:t>Charakter zmien a spôsob posudzovania zmien</w:t>
      </w:r>
      <w:bookmarkEnd w:id="34"/>
      <w:bookmarkEnd w:id="35"/>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2"/>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3"/>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6" w:name="_Toc410907854"/>
      <w:bookmarkStart w:id="37" w:name="_Toc440372866"/>
      <w:bookmarkStart w:id="38" w:name="_Toc94683055"/>
      <w:r w:rsidRPr="0073389C">
        <w:rPr>
          <w:lang w:val="sk-SK"/>
        </w:rPr>
        <w:t>Administrácia zmenového konania</w:t>
      </w:r>
      <w:bookmarkEnd w:id="36"/>
      <w:bookmarkEnd w:id="37"/>
      <w:bookmarkEnd w:id="38"/>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5AD5AC96"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 xml:space="preserve">na RO </w:t>
      </w:r>
      <w:r w:rsidR="00D9714D">
        <w:t xml:space="preserve">pre </w:t>
      </w:r>
      <w:r w:rsidR="007768B4">
        <w:t>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4"/>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w:t>
      </w:r>
      <w:r w:rsidR="0027727F">
        <w:lastRenderedPageBreak/>
        <w:t xml:space="preserve">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39" w:name="_Toc410031665"/>
      <w:bookmarkStart w:id="40"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1" w:name="_Toc440372867"/>
      <w:bookmarkStart w:id="42" w:name="_Toc94683056"/>
      <w:r w:rsidRPr="0073389C">
        <w:rPr>
          <w:lang w:val="sk-SK"/>
        </w:rPr>
        <w:t>Ukončenie zmluvného vzťahu</w:t>
      </w:r>
      <w:bookmarkEnd w:id="39"/>
      <w:bookmarkEnd w:id="40"/>
      <w:bookmarkEnd w:id="41"/>
      <w:bookmarkEnd w:id="42"/>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3" w:name="_Toc410907856"/>
      <w:bookmarkStart w:id="44" w:name="_Toc440372868"/>
      <w:bookmarkStart w:id="45" w:name="_Toc94683057"/>
      <w:r w:rsidRPr="0073389C">
        <w:rPr>
          <w:lang w:val="sk-SK"/>
        </w:rPr>
        <w:t>Finančné riadenie</w:t>
      </w:r>
      <w:bookmarkEnd w:id="43"/>
      <w:bookmarkEnd w:id="44"/>
      <w:bookmarkEnd w:id="45"/>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6" w:name="_Toc410907857"/>
      <w:bookmarkStart w:id="47" w:name="_Toc440372869"/>
      <w:bookmarkStart w:id="48" w:name="_Toc94683058"/>
      <w:r w:rsidRPr="0073389C">
        <w:rPr>
          <w:lang w:val="sk-SK"/>
        </w:rPr>
        <w:t>Vedenie účtovníct</w:t>
      </w:r>
      <w:r w:rsidR="004A616F" w:rsidRPr="0073389C">
        <w:rPr>
          <w:lang w:val="sk-SK"/>
        </w:rPr>
        <w:t>va</w:t>
      </w:r>
      <w:bookmarkEnd w:id="46"/>
      <w:bookmarkEnd w:id="47"/>
      <w:bookmarkEnd w:id="48"/>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5"/>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lastRenderedPageBreak/>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49" w:name="_Toc440372870"/>
      <w:bookmarkStart w:id="50" w:name="_Toc94683059"/>
      <w:bookmarkStart w:id="5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49"/>
      <w:bookmarkEnd w:id="50"/>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6"/>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7"/>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w:t>
      </w:r>
      <w:r w:rsidRPr="00BB4058">
        <w:rPr>
          <w:rFonts w:cs="Arial"/>
          <w:szCs w:val="16"/>
        </w:rPr>
        <w:lastRenderedPageBreak/>
        <w:t>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8"/>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w:t>
      </w:r>
      <w:r>
        <w:rPr>
          <w:rFonts w:cs="Arial"/>
          <w:szCs w:val="16"/>
        </w:rPr>
        <w:lastRenderedPageBreak/>
        <w:t>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9"/>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30"/>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 xml:space="preserve">na osobitný účet prijímateľa a predložiť riadiacemu orgánu výpis z osobitného účtu ako potvrdenie o prevode vlastných zdrojov. V prípade, ak vlastné zdroje prijímateľa neprechádzajú cez osobitný účet, prijímateľ je povinný ku každému uhradenému </w:t>
      </w:r>
      <w:r w:rsidRPr="00B74DAF">
        <w:rPr>
          <w:rFonts w:cs="Arial"/>
          <w:szCs w:val="19"/>
        </w:rPr>
        <w:lastRenderedPageBreak/>
        <w:t>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2" w:name="_Toc440372871"/>
      <w:r w:rsidRPr="00E135DC">
        <w:rPr>
          <w:b/>
        </w:rPr>
        <w:t>Platby vo vzťahu prijímateľ – dodávateľ/zhotoviteľ</w:t>
      </w:r>
      <w:bookmarkEnd w:id="52"/>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3" w:name="_Toc440372872"/>
      <w:bookmarkStart w:id="54" w:name="_Toc94683060"/>
      <w:r w:rsidRPr="0073389C">
        <w:rPr>
          <w:lang w:val="sk-SK"/>
        </w:rPr>
        <w:t>Oprávnenosť výdavkov</w:t>
      </w:r>
      <w:bookmarkEnd w:id="51"/>
      <w:bookmarkEnd w:id="53"/>
      <w:bookmarkEnd w:id="54"/>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lastRenderedPageBreak/>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31"/>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3"/>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xml:space="preserve">, zvýšenia minimálnej mzdy, zmeny súm odvodov zamestnanca a zamestnávateľa </w:t>
      </w:r>
      <w:r w:rsidRPr="0073389C">
        <w:lastRenderedPageBreak/>
        <w:t>(daňových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4"/>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lastRenderedPageBreak/>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5"/>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6"/>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w:t>
      </w:r>
      <w:r w:rsidR="004B173C" w:rsidRPr="0073389C">
        <w:lastRenderedPageBreak/>
        <w:t>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8"/>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9"/>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40"/>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w:t>
      </w:r>
      <w:r w:rsidR="00777423" w:rsidRPr="003900AB">
        <w:lastRenderedPageBreak/>
        <w:t>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41"/>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r w:rsidR="00D83979" w:rsidRPr="00D83979">
        <w:lastRenderedPageBreak/>
        <w:t>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4"/>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 xml:space="preserve">ak zamestnanec prijímateľa vykonáva v rámci projektu rovnaký typ odbornej alebo inej činnosti ako v rámci svojho hlavného pracovného pomeru, nie je možné v rámci projektu pre danú odbornú činnosť vynakladať vyššiu hodinovú sadzbu, ako je stanovená </w:t>
      </w:r>
      <w:r w:rsidR="00BA629D" w:rsidRPr="0073389C">
        <w:lastRenderedPageBreak/>
        <w:t>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5"/>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6"/>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7"/>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8"/>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 xml:space="preserve">alebo dopytovo-orientovaných projektov, kde prijímateľ je subjektom verejnej správy a jeho zamestnanci pôsobia na systematizovaných </w:t>
      </w:r>
      <w:r>
        <w:rPr>
          <w:rFonts w:cs="Arial"/>
          <w:b w:val="0"/>
          <w:color w:val="auto"/>
          <w:sz w:val="19"/>
          <w:szCs w:val="19"/>
          <w:lang w:val="sk-SK"/>
        </w:rPr>
        <w:lastRenderedPageBreak/>
        <w:t>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9"/>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50"/>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5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lastRenderedPageBreak/>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2"/>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3"/>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4"/>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5"/>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6"/>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7"/>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8"/>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w:t>
      </w:r>
      <w:r w:rsidRPr="0073389C">
        <w:lastRenderedPageBreak/>
        <w:t xml:space="preserve">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61"/>
      </w:r>
      <w:r w:rsidR="00694363" w:rsidRPr="0073389C">
        <w:t>),</w:t>
      </w:r>
      <w:r w:rsidRPr="0073389C">
        <w:t xml:space="preserve"> ako aj povinné odvody</w:t>
      </w:r>
      <w:r w:rsidRPr="0073389C">
        <w:rPr>
          <w:rStyle w:val="Odkaznapoznmkupodiarou"/>
          <w:sz w:val="19"/>
        </w:rPr>
        <w:footnoteReference w:id="62"/>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 xml:space="preserve">mimo pracovného pomeru a náhrady mzdy v zmysle platnej legislatívy a mzda za prácu nadčas (ak zamestnávateľ poskytne náhradné pracovné voľno za vykonanú prácu nadčas, tak náhradné </w:t>
      </w:r>
      <w:r w:rsidRPr="0073389C">
        <w:lastRenderedPageBreak/>
        <w:t>pracovné voľno je posúdené ako oprávnený výdavok</w:t>
      </w:r>
      <w:r w:rsidRPr="0073389C">
        <w:rPr>
          <w:rStyle w:val="Odkaznapoznmkupodiarou"/>
          <w:sz w:val="19"/>
        </w:rPr>
        <w:footnoteReference w:id="64"/>
      </w:r>
      <w:r w:rsidRPr="0073389C">
        <w:t>), ako aj povinné odvody za zamestnávateľa</w:t>
      </w:r>
      <w:r w:rsidRPr="0073389C">
        <w:rPr>
          <w:rStyle w:val="Odkaznapoznmkupodiarou"/>
          <w:sz w:val="19"/>
        </w:rPr>
        <w:footnoteReference w:id="6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4BCA18BB"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6"/>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70"/>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pričom </w:t>
      </w:r>
      <w:r w:rsidRPr="009B4AEF">
        <w:rPr>
          <w:rFonts w:cs="Arial"/>
          <w:color w:val="000000"/>
          <w:szCs w:val="19"/>
          <w:lang w:eastAsia="en-AU"/>
        </w:rPr>
        <w:lastRenderedPageBreak/>
        <w:t>kumulovaná výška priznaných odmien</w:t>
      </w:r>
      <w:r w:rsidRPr="009B4AEF">
        <w:rPr>
          <w:rStyle w:val="Odkaznapoznmkupodiarou"/>
          <w:rFonts w:cs="Arial"/>
          <w:color w:val="000000"/>
          <w:sz w:val="19"/>
          <w:szCs w:val="19"/>
          <w:lang w:eastAsia="en-AU"/>
        </w:rPr>
        <w:footnoteReference w:id="71"/>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w:t>
      </w:r>
      <w:r w:rsidRPr="0073389C">
        <w:lastRenderedPageBreak/>
        <w:t xml:space="preserve">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2"/>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w:t>
      </w:r>
      <w:r w:rsidRPr="0073389C">
        <w:lastRenderedPageBreak/>
        <w:t xml:space="preserve">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6"/>
      </w:r>
      <w:r w:rsidRPr="00B13AD8">
        <w:rPr>
          <w:rFonts w:cs="Arial"/>
          <w:szCs w:val="19"/>
        </w:rPr>
        <w:t>, ktorá zahŕňa výdavky na ubytovanie, stravné a cestovné v SR</w:t>
      </w:r>
      <w:r w:rsidRPr="00B13AD8">
        <w:rPr>
          <w:rStyle w:val="Odkaznapoznmkupodiarou"/>
          <w:rFonts w:cs="Arial"/>
          <w:sz w:val="19"/>
          <w:szCs w:val="19"/>
        </w:rPr>
        <w:footnoteReference w:id="77"/>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9"/>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80"/>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8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2"/>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lastRenderedPageBreak/>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w:t>
      </w:r>
      <w:r>
        <w:rPr>
          <w:rFonts w:cs="Arial"/>
          <w:b w:val="0"/>
          <w:color w:val="auto"/>
          <w:sz w:val="19"/>
          <w:szCs w:val="19"/>
          <w:lang w:val="sk-SK"/>
        </w:rPr>
        <w:lastRenderedPageBreak/>
        <w:t>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5"/>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8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9"/>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90"/>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91"/>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4"/>
      </w:r>
    </w:p>
    <w:p w14:paraId="3555C33D" w14:textId="77777777" w:rsidR="00263750" w:rsidRPr="0073389C" w:rsidRDefault="00E40792" w:rsidP="001F73A1">
      <w:pPr>
        <w:spacing w:before="120" w:after="120" w:line="288" w:lineRule="auto"/>
        <w:jc w:val="both"/>
      </w:pPr>
      <w:r>
        <w:lastRenderedPageBreak/>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46F238D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w:t>
      </w:r>
      <w:r w:rsidR="0098049D">
        <w:rPr>
          <w:rFonts w:cs="Arial"/>
        </w:rPr>
        <w:t>čl. 68</w:t>
      </w:r>
      <w:r w:rsidR="00F87B99" w:rsidRPr="00F87B99">
        <w:rPr>
          <w:rFonts w:cs="Arial"/>
        </w:rPr>
        <w:t>b ods. 1)</w:t>
      </w:r>
      <w:r w:rsidR="00911DA0">
        <w:rPr>
          <w:rFonts w:cs="Arial"/>
        </w:rPr>
        <w:t xml:space="preserve"> Všeobecného nariadenia</w:t>
      </w:r>
      <w:r w:rsidRPr="00460378">
        <w:rPr>
          <w:rFonts w:cs="Arial"/>
        </w:rPr>
        <w:t>)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w:t>
      </w:r>
      <w:r w:rsidR="0098049D" w:rsidRPr="0098049D">
        <w:rPr>
          <w:rFonts w:cs="Arial"/>
        </w:rPr>
        <w:t>čl. 68b ods. 1)</w:t>
      </w:r>
      <w:r w:rsidR="0098049D" w:rsidRPr="0098049D">
        <w:t xml:space="preserve"> </w:t>
      </w:r>
      <w:r w:rsidR="00911DA0">
        <w:t xml:space="preserve">Všeobecného </w:t>
      </w:r>
      <w:r w:rsidR="00911DA0">
        <w:rPr>
          <w:rFonts w:cs="Arial"/>
        </w:rPr>
        <w:t>n</w:t>
      </w:r>
      <w:r w:rsidR="0098049D" w:rsidRPr="0098049D">
        <w:rPr>
          <w:rFonts w:cs="Arial"/>
        </w:rPr>
        <w:t>ariadeni</w:t>
      </w:r>
      <w:r w:rsidR="0098049D">
        <w:rPr>
          <w:rFonts w:cs="Arial"/>
        </w:rPr>
        <w:t>a</w:t>
      </w:r>
      <w:r w:rsidRPr="008C5D90">
        <w:rPr>
          <w:rFonts w:cs="Arial"/>
        </w:rPr>
        <w:t>)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535A84BD"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w:t>
      </w:r>
      <w:r w:rsidR="00911DA0" w:rsidRPr="00911DA0">
        <w:rPr>
          <w:rFonts w:cs="Arial"/>
        </w:rPr>
        <w:t>čl. 68b ods. 1) Všeobecného nariadenia</w:t>
      </w:r>
      <w:r w:rsidRPr="0099542E">
        <w:rPr>
          <w:rFonts w:cs="Arial"/>
        </w:rPr>
        <w:t>)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5"/>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w:t>
      </w:r>
      <w:r w:rsidRPr="0073389C">
        <w:rPr>
          <w:rFonts w:ascii="Arial" w:hAnsi="Arial" w:cs="Arial"/>
          <w:sz w:val="19"/>
          <w:szCs w:val="19"/>
          <w:lang w:val="sk-SK" w:eastAsia="en-US"/>
        </w:rPr>
        <w:lastRenderedPageBreak/>
        <w:t>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7"/>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8"/>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94683061"/>
      <w:r w:rsidRPr="0073389C">
        <w:rPr>
          <w:lang w:val="sk-SK"/>
        </w:rPr>
        <w:t>Postupy pri žiadosti o platbu</w:t>
      </w:r>
      <w:bookmarkEnd w:id="57"/>
      <w:bookmarkEnd w:id="58"/>
      <w:bookmarkEnd w:id="59"/>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9"/>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10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lastRenderedPageBreak/>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94683062"/>
      <w:r w:rsidRPr="0073389C">
        <w:rPr>
          <w:lang w:val="sk-SK"/>
        </w:rPr>
        <w:t>Špecifiká jednotlivých systémov financovania</w:t>
      </w:r>
      <w:bookmarkEnd w:id="60"/>
      <w:bookmarkEnd w:id="61"/>
      <w:bookmarkEnd w:id="62"/>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lastRenderedPageBreak/>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lastRenderedPageBreak/>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101"/>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2"/>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xml:space="preserve">, t. j. prijímateľ </w:t>
      </w:r>
      <w:r w:rsidRPr="003A2FA6">
        <w:lastRenderedPageBreak/>
        <w:t>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946B15B"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r w:rsidR="003F2ACD">
        <w:t>pri bežných výdavkoch</w:t>
      </w:r>
      <w:r w:rsidR="003F2ACD" w:rsidRPr="0073389C">
        <w:t xml:space="preserve"> </w:t>
      </w:r>
      <w:r w:rsidR="006739C3" w:rsidRPr="0073389C">
        <w:t xml:space="preserve">637033 </w:t>
      </w:r>
      <w:r w:rsidR="003F2ACD">
        <w:t>–</w:t>
      </w:r>
      <w:r w:rsidR="006739C3" w:rsidRPr="0073389C">
        <w:t xml:space="preserve"> </w:t>
      </w:r>
      <w:r w:rsidR="003F2ACD">
        <w:t>Platby štátnej rozpočtovej organizáci</w:t>
      </w:r>
      <w:r w:rsidR="00FF3FC8">
        <w:t>i</w:t>
      </w:r>
      <w:r w:rsidR="003F2ACD">
        <w:t xml:space="preserve"> na projekty EÚ a</w:t>
      </w:r>
      <w:r w:rsidR="005B68B5">
        <w:t> pri kapitálových výdavkoch</w:t>
      </w:r>
      <w:r w:rsidR="003F2ACD">
        <w:t> kód 719015 - Platby štátnej rozpočtovej organizáci</w:t>
      </w:r>
      <w:r w:rsidR="00FF3FC8">
        <w:t>i</w:t>
      </w:r>
      <w:r w:rsidR="003F2ACD">
        <w:t xml:space="preserve"> na projekty EÚ</w:t>
      </w:r>
      <w:r w:rsidR="00136305">
        <w:t xml:space="preserve"> (prijímateľ predloží žiadosť o platbu zvlášť na bežné výdavky a zvlášť na kapitálové výdavky). </w:t>
      </w:r>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lastRenderedPageBreak/>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lastRenderedPageBreak/>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w:t>
      </w:r>
      <w:r w:rsidR="009A5D87" w:rsidRPr="009A5D87">
        <w:rPr>
          <w:rFonts w:cs="Arial"/>
          <w:szCs w:val="19"/>
        </w:rPr>
        <w:lastRenderedPageBreak/>
        <w:t>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9F84371"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594011">
        <w:t>predloží</w:t>
      </w:r>
      <w:r w:rsidR="00594011" w:rsidRPr="00CD75A3">
        <w:t xml:space="preserve"> </w:t>
      </w:r>
      <w:r w:rsidR="00CD75A3" w:rsidRPr="00CD75A3">
        <w:t xml:space="preserve">prostredníctvom elektronického formulára v rámci verejnej časti ITMS2014+ </w:t>
      </w:r>
      <w:r w:rsidR="003F7BC9">
        <w:t xml:space="preserve">ako </w:t>
      </w:r>
      <w:r w:rsidR="003F7BC9" w:rsidRPr="00594011">
        <w:rPr>
          <w:b/>
        </w:rPr>
        <w:t>formálne podanie</w:t>
      </w:r>
      <w:r w:rsidR="003F7BC9">
        <w:rPr>
          <w:rStyle w:val="Odkaznapoznmkupodiarou"/>
        </w:rPr>
        <w:footnoteReference w:id="104"/>
      </w:r>
      <w:r w:rsidR="006F0EA9" w:rsidRPr="0073389C">
        <w:t xml:space="preserve"> </w:t>
      </w:r>
      <w:r w:rsidR="00224458">
        <w:t>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5"/>
      </w:r>
      <w:r w:rsidRPr="001B3A72">
        <w:t xml:space="preserve"> </w:t>
      </w:r>
      <w:r w:rsidR="00CF0993" w:rsidRPr="001B3A72">
        <w:t>podpísaný  oprávnenou osobou kvalifikovaným elektronickým podpisom</w:t>
      </w:r>
      <w:r w:rsidR="00CF0993" w:rsidRPr="001B3A72">
        <w:rPr>
          <w:vertAlign w:val="superscript"/>
        </w:rPr>
        <w:footnoteReference w:id="106"/>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594011">
        <w:t xml:space="preserve"> (elektronické podanie - formálne)</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594011">
        <w:rPr>
          <w:bCs/>
          <w:iCs/>
        </w:rPr>
        <w:t xml:space="preserve"> (listinné podanie - formálne)</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w:t>
      </w:r>
      <w:r w:rsidRPr="0073389C">
        <w:lastRenderedPageBreak/>
        <w:t xml:space="preserve">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7"/>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027A4EFC"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r w:rsidR="009A6038">
        <w:rPr>
          <w:rFonts w:ascii="Arial" w:hAnsi="Arial" w:cs="Arial"/>
          <w:sz w:val="19"/>
          <w:szCs w:val="19"/>
          <w:lang w:val="sk-SK"/>
        </w:rPr>
        <w:t>.</w:t>
      </w:r>
      <w:r w:rsidR="00627C7E" w:rsidRPr="00AE7005">
        <w:rPr>
          <w:rFonts w:ascii="Arial" w:hAnsi="Arial" w:cs="Arial"/>
          <w:sz w:val="19"/>
          <w:szCs w:val="19"/>
          <w:lang w:val="sk-SK"/>
        </w:rPr>
        <w:t xml:space="preserve"> </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94683063"/>
      <w:r w:rsidRPr="0073389C">
        <w:rPr>
          <w:caps/>
          <w:lang w:val="sk-SK" w:eastAsia="cs-CZ"/>
        </w:rPr>
        <w:lastRenderedPageBreak/>
        <w:t>Ú</w:t>
      </w:r>
      <w:r w:rsidRPr="0073389C">
        <w:rPr>
          <w:lang w:val="sk-SK" w:eastAsia="cs-CZ"/>
        </w:rPr>
        <w:t>čtovné doklady a ich prílohy</w:t>
      </w:r>
      <w:bookmarkEnd w:id="63"/>
      <w:bookmarkEnd w:id="64"/>
      <w:bookmarkEnd w:id="65"/>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8"/>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9"/>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1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 xml:space="preserve">s uvedením dátumu vykonania a podpisu pracovníka, ktorý </w:t>
      </w:r>
      <w:r w:rsidRPr="0073389C">
        <w:rPr>
          <w:lang w:eastAsia="cs-CZ"/>
        </w:rPr>
        <w:lastRenderedPageBreak/>
        <w:t>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1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w:t>
      </w:r>
      <w:r w:rsidRPr="0073389C">
        <w:rPr>
          <w:color w:val="000000"/>
          <w:lang w:eastAsia="cs-CZ"/>
        </w:rPr>
        <w:lastRenderedPageBreak/>
        <w:t>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3"/>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1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4" w:name="_Ref523225313"/>
      <w:r w:rsidRPr="0073389C">
        <w:rPr>
          <w:rStyle w:val="Odkaznapoznmkupodiarou"/>
          <w:rFonts w:cs="Arial"/>
          <w:i/>
          <w:iCs/>
          <w:sz w:val="19"/>
          <w:szCs w:val="19"/>
          <w:lang w:val="sk-SK"/>
        </w:rPr>
        <w:footnoteReference w:id="115"/>
      </w:r>
      <w:bookmarkEnd w:id="11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6C29EEC7" w14:textId="2934CC0D"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6984D288"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r w:rsidR="005B68B5">
        <w:rPr>
          <w:lang w:val="sk-SK"/>
        </w:rPr>
        <w:t xml:space="preserve"> projekty s aplikovanou š</w:t>
      </w:r>
      <w:r w:rsidR="005B68B5">
        <w:t>tandardnou stupnicou jednotkových nákladov</w:t>
      </w:r>
      <w:r w:rsidR="009D7F63" w:rsidRPr="0073389C">
        <w:rPr>
          <w:lang w:val="sk-SK"/>
        </w:rPr>
        <w:t xml:space="preserve"> </w:t>
      </w:r>
      <w:r w:rsidR="009D7F63" w:rsidRPr="00AF7279">
        <w:rPr>
          <w:iCs/>
          <w:lang w:val="sk-SK"/>
        </w:rPr>
        <w:t xml:space="preserve">(príloha č. </w:t>
      </w:r>
      <w:r w:rsidR="00F86DFA" w:rsidRPr="00AF7279">
        <w:rPr>
          <w:iCs/>
          <w:lang w:val="sk-SK"/>
        </w:rPr>
        <w:t>10</w:t>
      </w:r>
      <w:r w:rsidR="00E4456F">
        <w:rPr>
          <w:iCs/>
          <w:lang w:val="sk-SK"/>
        </w:rPr>
        <w:t>a</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D082C7C" w:rsidR="009D7F63" w:rsidRPr="0073389C" w:rsidRDefault="009D7F63" w:rsidP="00167090">
      <w:pPr>
        <w:pStyle w:val="Bulletslevel1"/>
        <w:spacing w:after="120" w:line="288" w:lineRule="auto"/>
        <w:ind w:left="567" w:hanging="283"/>
        <w:jc w:val="both"/>
        <w:rPr>
          <w:lang w:val="sk-SK"/>
        </w:rPr>
      </w:pPr>
      <w:r w:rsidRPr="0073389C">
        <w:rPr>
          <w:lang w:val="sk-SK"/>
        </w:rPr>
        <w:t xml:space="preserve">pracovný </w:t>
      </w:r>
      <w:r w:rsidRPr="00EE0795">
        <w:rPr>
          <w:lang w:val="sk-SK"/>
        </w:rPr>
        <w:t>výkaz</w:t>
      </w:r>
      <w:r w:rsidR="00A95633" w:rsidRPr="00C34924">
        <w:rPr>
          <w:vertAlign w:val="superscript"/>
          <w:lang w:val="sk-SK"/>
        </w:rPr>
        <w:t>112</w:t>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8"/>
      </w:r>
      <w:r w:rsidR="009D7F63" w:rsidRPr="00FE024C">
        <w:rPr>
          <w:lang w:val="sk-SK"/>
        </w:rPr>
        <w:t>, ak je účet identifikovaný v zmluvnom vzťahu (napr. v dohode), prijímateľ nie je povinný predkladať súhlas s poukazovaním mzdy na účet,</w:t>
      </w:r>
    </w:p>
    <w:p w14:paraId="734A8BAE" w14:textId="278DAB03"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00E6526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r w:rsidR="00A57BEF" w:rsidRPr="00A57BEF">
        <w:rPr>
          <w:lang w:val="sk-SK"/>
        </w:rPr>
        <w:t>projekty s aplikovanou štandardnou stupnicou jednotkových nákladov</w:t>
      </w:r>
      <w:r w:rsidR="00A57BEF" w:rsidRPr="00A57BEF" w:rsidDel="00A57BEF">
        <w:rPr>
          <w:lang w:val="sk-SK"/>
        </w:rPr>
        <w:t xml:space="preserve"> </w:t>
      </w:r>
      <w:r w:rsidR="009D7F63" w:rsidRPr="00D272DE">
        <w:rPr>
          <w:iCs/>
          <w:lang w:val="sk-SK"/>
        </w:rPr>
        <w:t xml:space="preserve">(príloha č. </w:t>
      </w:r>
      <w:r w:rsidR="00F86DFA" w:rsidRPr="00D272DE">
        <w:rPr>
          <w:iCs/>
          <w:lang w:val="sk-SK"/>
        </w:rPr>
        <w:t>10</w:t>
      </w:r>
      <w:r w:rsidR="00A57BEF">
        <w:rPr>
          <w:iCs/>
          <w:lang w:val="sk-SK"/>
        </w:rPr>
        <w:t>a</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38519B7F"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w:t>
      </w:r>
      <w:r w:rsidR="00692DA3">
        <w:rPr>
          <w:rStyle w:val="Odkaznapoznmkupodiarou"/>
          <w:rFonts w:eastAsia="Times New Roman" w:cs="Arial"/>
          <w:b/>
          <w:color w:val="auto"/>
          <w:szCs w:val="19"/>
          <w:lang w:val="sk-SK" w:eastAsia="en-US"/>
        </w:rPr>
        <w:footnoteReference w:id="119"/>
      </w:r>
      <w:r w:rsidR="002226C6">
        <w:rPr>
          <w:rFonts w:eastAsia="Times New Roman" w:cs="Arial"/>
          <w:b/>
          <w:color w:val="auto"/>
          <w:szCs w:val="19"/>
          <w:lang w:val="sk-SK" w:eastAsia="en-US"/>
        </w:rPr>
        <w:t xml:space="preserve"> (štát a jeho orgány, regionálne a miestne samosprávy)</w:t>
      </w:r>
      <w:r>
        <w:rPr>
          <w:rFonts w:eastAsia="Times New Roman" w:cs="Arial"/>
          <w:b/>
          <w:color w:val="auto"/>
          <w:szCs w:val="19"/>
          <w:lang w:val="sk-SK" w:eastAsia="en-US"/>
        </w:rPr>
        <w:t xml:space="preserve"> je možné </w:t>
      </w:r>
      <w:r>
        <w:rPr>
          <w:rFonts w:eastAsia="Times New Roman" w:cs="Arial"/>
          <w:b/>
          <w:color w:val="auto"/>
          <w:szCs w:val="19"/>
          <w:lang w:val="sk-SK" w:eastAsia="en-US"/>
        </w:rPr>
        <w:lastRenderedPageBreak/>
        <w:t>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5B68B5">
        <w:rPr>
          <w:rFonts w:eastAsia="Times New Roman" w:cs="Arial"/>
          <w:b/>
          <w:color w:val="auto"/>
          <w:szCs w:val="19"/>
          <w:lang w:val="sk-SK" w:eastAsia="en-US"/>
        </w:rPr>
        <w:t>a</w:t>
      </w:r>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20"/>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A57BEF">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0278B3">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1EF3273C"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4706B705" w14:textId="7134F406"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A57BEF">
        <w:rPr>
          <w:lang w:val="sk-SK"/>
        </w:rPr>
        <w:t>projekty s aplikovanou š</w:t>
      </w:r>
      <w:r w:rsidR="00A57BEF">
        <w:t>tandardnou stupnicou jednotkových nákladov</w:t>
      </w:r>
      <w:r w:rsidRPr="0073389C">
        <w:rPr>
          <w:lang w:val="sk-SK"/>
        </w:rPr>
        <w:t xml:space="preserve"> </w:t>
      </w:r>
      <w:r w:rsidRPr="00D272DE">
        <w:rPr>
          <w:iCs/>
          <w:lang w:val="sk-SK"/>
        </w:rPr>
        <w:t>(príloha č. 10</w:t>
      </w:r>
      <w:r w:rsidR="00A57BEF">
        <w:rPr>
          <w:iCs/>
          <w:lang w:val="sk-SK"/>
        </w:rPr>
        <w:t>a</w:t>
      </w:r>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w:t>
      </w:r>
      <w:r w:rsidR="00C80E10">
        <w:rPr>
          <w:lang w:val="sk-SK"/>
        </w:rPr>
        <w:t>pracovný výkaz</w:t>
      </w:r>
      <w:bookmarkStart w:id="115" w:name="_Ref523227404"/>
      <w:r w:rsidR="00C80E10" w:rsidRPr="0073389C">
        <w:rPr>
          <w:rStyle w:val="Odkaznapoznmkupodiarou"/>
          <w:rFonts w:cs="Arial"/>
          <w:i/>
          <w:iCs/>
          <w:sz w:val="19"/>
          <w:szCs w:val="19"/>
          <w:lang w:val="sk-SK"/>
        </w:rPr>
        <w:footnoteReference w:id="121"/>
      </w:r>
      <w:bookmarkEnd w:id="115"/>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17827D9C"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00A57BEF">
        <w:rPr>
          <w:rFonts w:ascii="Arial" w:hAnsi="Arial" w:cs="Arial"/>
          <w:color w:val="auto"/>
          <w:sz w:val="19"/>
          <w:szCs w:val="19"/>
          <w:lang w:val="sk-SK"/>
        </w:rPr>
        <w:t>a</w:t>
      </w:r>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2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D3048C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alebo dopytovo-orientovaných projektov prijímateľov a partnerov, ktorí sú nositeľmi verejnej moci</w:t>
      </w:r>
      <w:r w:rsidR="00F7621D">
        <w:rPr>
          <w:rStyle w:val="Odkaznapoznmkupodiarou"/>
          <w:rFonts w:eastAsia="Times New Roman" w:cs="Arial"/>
          <w:b/>
          <w:color w:val="auto"/>
          <w:szCs w:val="19"/>
          <w:lang w:val="sk-SK" w:eastAsia="en-US"/>
        </w:rPr>
        <w:footnoteReference w:id="123"/>
      </w:r>
      <w:r w:rsidR="00BF31BC">
        <w:rPr>
          <w:rFonts w:eastAsia="Times New Roman" w:cs="Arial"/>
          <w:b/>
          <w:color w:val="auto"/>
          <w:szCs w:val="19"/>
          <w:lang w:val="sk-SK" w:eastAsia="en-US"/>
        </w:rPr>
        <w:t xml:space="preserve">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DE24BE">
        <w:rPr>
          <w:rFonts w:eastAsia="Times New Roman" w:cs="Arial"/>
          <w:b/>
          <w:color w:val="auto"/>
          <w:szCs w:val="19"/>
          <w:lang w:val="sk-SK" w:eastAsia="en-US"/>
        </w:rPr>
        <w:t>a</w:t>
      </w:r>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4"/>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w:t>
      </w:r>
      <w:r w:rsidR="00CA5286">
        <w:rPr>
          <w:rFonts w:eastAsia="Times New Roman" w:cs="Arial"/>
          <w:b/>
          <w:color w:val="auto"/>
          <w:szCs w:val="19"/>
          <w:lang w:val="sk-SK" w:eastAsia="en-US"/>
        </w:rPr>
        <w:lastRenderedPageBreak/>
        <w:t xml:space="preserve">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0419894A"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3EF9FD0E" w14:textId="62B4978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r w:rsidRPr="0073389C">
        <w:rPr>
          <w:lang w:val="sk-SK"/>
        </w:rPr>
        <w:t xml:space="preserve"> </w:t>
      </w:r>
      <w:r w:rsidRPr="00D272DE">
        <w:rPr>
          <w:iCs/>
          <w:lang w:val="sk-SK"/>
        </w:rPr>
        <w:t>(príloha č. 10</w:t>
      </w:r>
      <w:r w:rsidR="00DE24BE">
        <w:rPr>
          <w:iCs/>
          <w:lang w:val="sk-SK"/>
        </w:rPr>
        <w:t>a</w:t>
      </w:r>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5"/>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w:t>
      </w:r>
      <w:r w:rsidR="005D7B9B" w:rsidRPr="0073389C">
        <w:rPr>
          <w:lang w:val="sk-SK"/>
        </w:rPr>
        <w:lastRenderedPageBreak/>
        <w:t xml:space="preserve">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4B29091"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ŽoP </w:t>
      </w:r>
      <w:r w:rsidR="00296735">
        <w:rPr>
          <w:rFonts w:ascii="Arial" w:hAnsi="Arial" w:cs="Arial"/>
          <w:b/>
          <w:sz w:val="19"/>
          <w:szCs w:val="19"/>
          <w:lang w:val="sk-SK"/>
        </w:rPr>
        <w:t>prijímateľ</w:t>
      </w:r>
      <w:r w:rsidR="004858F1">
        <w:rPr>
          <w:rStyle w:val="Odkaznapoznmkupodiarou"/>
          <w:rFonts w:cs="Arial"/>
          <w:b/>
          <w:szCs w:val="19"/>
          <w:lang w:val="sk-SK"/>
        </w:rPr>
        <w:footnoteReference w:id="127"/>
      </w:r>
      <w:r w:rsidR="00296735">
        <w:rPr>
          <w:rFonts w:ascii="Arial" w:hAnsi="Arial" w:cs="Arial"/>
          <w:b/>
          <w:sz w:val="19"/>
          <w:szCs w:val="19"/>
          <w:lang w:val="sk-SK"/>
        </w:rPr>
        <w:t xml:space="preserve"> </w:t>
      </w:r>
      <w:r w:rsidRPr="0073389C">
        <w:rPr>
          <w:rFonts w:ascii="Arial" w:hAnsi="Arial" w:cs="Arial"/>
          <w:b/>
          <w:sz w:val="19"/>
          <w:szCs w:val="19"/>
          <w:lang w:val="sk-SK"/>
        </w:rPr>
        <w:t>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8"/>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9"/>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30"/>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3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435251CB"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C34924" w:rsidRPr="00C34924">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3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6A6533C"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503BF2" w:rsidRPr="00503BF2">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33"/>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34"/>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5"/>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94683064"/>
      <w:r w:rsidR="009D7F63" w:rsidRPr="0073389C">
        <w:rPr>
          <w:lang w:val="sk-SK"/>
        </w:rPr>
        <w:t>Nezrovnalosti a vysporiadanie finančných vzťahov</w:t>
      </w:r>
      <w:bookmarkEnd w:id="116"/>
      <w:bookmarkEnd w:id="117"/>
      <w:bookmarkEnd w:id="118"/>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4525DFFF"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0F1E30" w:rsidR="00C67387" w:rsidRPr="00C67387" w:rsidRDefault="00C67387" w:rsidP="000124A2">
      <w:pPr>
        <w:spacing w:line="288" w:lineRule="auto"/>
        <w:rPr>
          <w:rFonts w:cs="Arial"/>
          <w:bCs/>
          <w:szCs w:val="19"/>
        </w:rPr>
      </w:pPr>
      <w:r w:rsidRPr="00C67387">
        <w:rPr>
          <w:rFonts w:cs="Arial"/>
          <w:bCs/>
          <w:szCs w:val="19"/>
        </w:rPr>
        <w:t xml:space="preserve">Odbor </w:t>
      </w:r>
      <w:r w:rsidR="009A6038">
        <w:rPr>
          <w:rFonts w:cs="Arial"/>
          <w:bCs/>
          <w:szCs w:val="19"/>
        </w:rPr>
        <w:t>účtovníctva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94683065"/>
      <w:bookmarkEnd w:id="120"/>
      <w:r w:rsidRPr="0073389C">
        <w:rPr>
          <w:lang w:val="sk-SK"/>
        </w:rPr>
        <w:t>Verejné obstarávanie</w:t>
      </w:r>
      <w:bookmarkEnd w:id="121"/>
      <w:bookmarkEnd w:id="122"/>
      <w:bookmarkEnd w:id="123"/>
    </w:p>
    <w:p w14:paraId="07CEB37B" w14:textId="77777777"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7"/>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3"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4"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0" w:name="_Ref418020975"/>
            <w:bookmarkStart w:id="131" w:name="_Ref418020987"/>
            <w:bookmarkStart w:id="132" w:name="_Ref418021052"/>
            <w:bookmarkStart w:id="133" w:name="_Ref418021057"/>
            <w:bookmarkStart w:id="134" w:name="_Ref418021061"/>
            <w:bookmarkStart w:id="135"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0"/>
            <w:bookmarkEnd w:id="131"/>
            <w:bookmarkEnd w:id="132"/>
            <w:bookmarkEnd w:id="133"/>
            <w:bookmarkEnd w:id="134"/>
            <w:bookmarkEnd w:id="135"/>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F389D1F"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5</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6"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6"/>
          </w:p>
        </w:tc>
        <w:tc>
          <w:tcPr>
            <w:tcW w:w="2263" w:type="dxa"/>
          </w:tcPr>
          <w:p w14:paraId="6AD405A3" w14:textId="39F0A76C"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6</w:t>
            </w:r>
          </w:p>
        </w:tc>
      </w:tr>
    </w:tbl>
    <w:p w14:paraId="142F8479" w14:textId="77777777" w:rsidR="000F1F94" w:rsidRDefault="000F1F94" w:rsidP="00A10CB2">
      <w:pPr>
        <w:autoSpaceDE w:val="0"/>
        <w:autoSpaceDN w:val="0"/>
        <w:adjustRightInd w:val="0"/>
        <w:spacing w:before="120" w:after="120" w:line="288" w:lineRule="auto"/>
        <w:jc w:val="both"/>
      </w:pPr>
    </w:p>
    <w:p w14:paraId="49F95D1A" w14:textId="417D6B77" w:rsidR="00CE277C" w:rsidRDefault="00CE277C" w:rsidP="00A10CB2">
      <w:pPr>
        <w:autoSpaceDE w:val="0"/>
        <w:autoSpaceDN w:val="0"/>
        <w:adjustRightInd w:val="0"/>
        <w:spacing w:before="120" w:after="120" w:line="288" w:lineRule="auto"/>
        <w:jc w:val="both"/>
      </w:pPr>
      <w:r w:rsidRPr="00CE277C">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p>
    <w:p w14:paraId="4DB686D7" w14:textId="77777777" w:rsidR="00CE277C" w:rsidRPr="0073389C" w:rsidRDefault="00CE277C"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7" w:name="_Toc359942925"/>
      <w:bookmarkStart w:id="138" w:name="_Toc359943221"/>
      <w:bookmarkStart w:id="139" w:name="_Toc359943517"/>
      <w:bookmarkStart w:id="140" w:name="_Toc359943819"/>
      <w:bookmarkStart w:id="141" w:name="_Toc359944121"/>
      <w:bookmarkStart w:id="142" w:name="_Toc359944421"/>
      <w:bookmarkStart w:id="143" w:name="_Toc360024481"/>
      <w:bookmarkStart w:id="144" w:name="_Toc360030476"/>
      <w:bookmarkStart w:id="145" w:name="_Toc360031226"/>
      <w:bookmarkStart w:id="146" w:name="_Toc360109828"/>
      <w:bookmarkStart w:id="147" w:name="_Toc360110138"/>
      <w:bookmarkStart w:id="148" w:name="_Toc360118328"/>
      <w:bookmarkStart w:id="149" w:name="_Toc360118643"/>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18000109"/>
      <w:bookmarkStart w:id="164" w:name="_Toc440372890"/>
      <w:bookmarkStart w:id="165" w:name="_Toc94683066"/>
      <w:bookmarkStart w:id="166" w:name="_Toc410907880"/>
      <w:bookmarkEnd w:id="128"/>
      <w:bookmarkEnd w:id="12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rFonts w:ascii="Arial" w:hAnsi="Arial"/>
          <w:lang w:val="sk-SK"/>
        </w:rPr>
        <w:lastRenderedPageBreak/>
        <w:t>Kontrola a overovanie oprávnenosti výdavkov</w:t>
      </w:r>
      <w:bookmarkEnd w:id="164"/>
      <w:bookmarkEnd w:id="165"/>
      <w:r w:rsidRPr="0073389C">
        <w:rPr>
          <w:rFonts w:ascii="Arial" w:hAnsi="Arial"/>
          <w:lang w:val="sk-SK"/>
        </w:rPr>
        <w:t xml:space="preserve"> </w:t>
      </w:r>
      <w:bookmarkEnd w:id="166"/>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7" w:name="_Toc410907881"/>
      <w:bookmarkStart w:id="168" w:name="_Toc440372891"/>
      <w:bookmarkStart w:id="169" w:name="_Toc94683067"/>
      <w:r w:rsidRPr="0073389C">
        <w:rPr>
          <w:lang w:val="sk-SK"/>
        </w:rPr>
        <w:t xml:space="preserve">Administratívna </w:t>
      </w:r>
      <w:r w:rsidR="00F17DE9">
        <w:rPr>
          <w:lang w:val="sk-SK"/>
        </w:rPr>
        <w:t xml:space="preserve">finančná </w:t>
      </w:r>
      <w:r w:rsidRPr="0073389C">
        <w:rPr>
          <w:lang w:val="sk-SK"/>
        </w:rPr>
        <w:t>kontrola</w:t>
      </w:r>
      <w:bookmarkEnd w:id="167"/>
      <w:bookmarkEnd w:id="168"/>
      <w:bookmarkEnd w:id="169"/>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0" w:name="_Toc410907882"/>
      <w:bookmarkStart w:id="171" w:name="_Toc440372892"/>
      <w:bookmarkStart w:id="172" w:name="_Toc94683068"/>
      <w:r>
        <w:rPr>
          <w:lang w:val="sk-SK"/>
        </w:rPr>
        <w:t>Finančná k</w:t>
      </w:r>
      <w:r w:rsidR="009D7F63" w:rsidRPr="0073389C">
        <w:rPr>
          <w:lang w:val="sk-SK"/>
        </w:rPr>
        <w:t>ontrola na mieste</w:t>
      </w:r>
      <w:bookmarkEnd w:id="170"/>
      <w:bookmarkEnd w:id="171"/>
      <w:bookmarkEnd w:id="172"/>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173"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4" w:name="_Toc440372893"/>
      <w:bookmarkStart w:id="175" w:name="_Toc94683069"/>
      <w:r w:rsidRPr="0073389C">
        <w:rPr>
          <w:rFonts w:ascii="Arial" w:hAnsi="Arial"/>
          <w:lang w:val="sk-SK"/>
        </w:rPr>
        <w:lastRenderedPageBreak/>
        <w:t>Pr</w:t>
      </w:r>
      <w:r>
        <w:rPr>
          <w:rFonts w:ascii="Arial" w:hAnsi="Arial"/>
          <w:lang w:val="sk-SK"/>
        </w:rPr>
        <w:t>echodné a záverečné ustanovenia</w:t>
      </w:r>
      <w:bookmarkEnd w:id="174"/>
      <w:bookmarkEnd w:id="175"/>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6" w:name="_Toc440372894"/>
      <w:bookmarkStart w:id="177" w:name="_Toc94683070"/>
      <w:r w:rsidRPr="0073389C">
        <w:rPr>
          <w:rFonts w:ascii="Arial" w:hAnsi="Arial"/>
          <w:lang w:val="sk-SK"/>
        </w:rPr>
        <w:lastRenderedPageBreak/>
        <w:t>Prílohy</w:t>
      </w:r>
      <w:bookmarkEnd w:id="173"/>
      <w:bookmarkEnd w:id="176"/>
      <w:bookmarkEnd w:id="177"/>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34060E80"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p>
    <w:p w14:paraId="66EF8149" w14:textId="67671007" w:rsidR="00322445" w:rsidRPr="000A76AD" w:rsidRDefault="006C3C6D" w:rsidP="00E758CB">
      <w:pPr>
        <w:pStyle w:val="Default"/>
        <w:spacing w:before="120" w:after="120" w:line="288" w:lineRule="auto"/>
        <w:ind w:left="720" w:hanging="436"/>
        <w:jc w:val="both"/>
        <w:rPr>
          <w:rFonts w:ascii="Arial" w:hAnsi="Arial" w:cs="Arial"/>
          <w:sz w:val="19"/>
          <w:szCs w:val="19"/>
          <w:lang w:val="sk-SK"/>
        </w:rPr>
      </w:pPr>
      <w:r>
        <w:rPr>
          <w:rFonts w:ascii="Arial" w:hAnsi="Arial" w:cs="Arial"/>
          <w:sz w:val="19"/>
          <w:szCs w:val="19"/>
          <w:lang w:val="sk-SK"/>
        </w:rPr>
        <w:t xml:space="preserve"> 10a</w:t>
      </w:r>
      <w:r w:rsidR="00D96C95">
        <w:rPr>
          <w:rFonts w:ascii="Arial" w:hAnsi="Arial" w:cs="Arial"/>
          <w:sz w:val="19"/>
          <w:szCs w:val="19"/>
          <w:lang w:val="sk-SK"/>
        </w:rPr>
        <w:t xml:space="preserve">) </w:t>
      </w:r>
      <w:r w:rsidR="009D7F63" w:rsidRPr="000A76AD">
        <w:rPr>
          <w:rFonts w:ascii="Arial" w:hAnsi="Arial" w:cs="Arial"/>
          <w:sz w:val="19"/>
          <w:szCs w:val="19"/>
          <w:lang w:val="sk-SK"/>
        </w:rPr>
        <w:t xml:space="preserve">Sumarizačný hárok – personálne výdavky – </w:t>
      </w: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p>
    <w:p w14:paraId="5D54114E" w14:textId="0CF126A5"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71E515D5" w:rsidR="00322445" w:rsidRPr="00C827CD" w:rsidRDefault="00EB5C82" w:rsidP="00C827CD">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1840A62A" w14:textId="6ED665BA" w:rsidR="00EB5C82" w:rsidRPr="000A76AD" w:rsidRDefault="00EB5C82" w:rsidP="00E758CB">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5FDA7B6D"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5"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12A22B37" w14:textId="27A2AF25" w:rsidR="00D8307A" w:rsidRPr="00EB5C82" w:rsidRDefault="00EB5C82" w:rsidP="00EB5C82">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15370D9F" w14:textId="528AC9E0" w:rsidR="00EB5C82" w:rsidRDefault="00EB5C82"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60567E55" w14:textId="12EE2642" w:rsidR="00A751E6" w:rsidRPr="00296735" w:rsidRDefault="00A751E6" w:rsidP="0029700B">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Výpočet oprá</w:t>
      </w:r>
      <w:r w:rsidR="00B60D5F" w:rsidRPr="00296735">
        <w:rPr>
          <w:rFonts w:ascii="Arial" w:hAnsi="Arial" w:cs="Arial"/>
          <w:color w:val="auto"/>
          <w:sz w:val="19"/>
          <w:szCs w:val="19"/>
          <w:lang w:val="sk-SK"/>
        </w:rPr>
        <w:t>vnenej výšky mzdy zamestnanca</w:t>
      </w:r>
      <w:r w:rsidR="00F2335A" w:rsidRPr="00296735">
        <w:rPr>
          <w:rFonts w:ascii="Arial" w:hAnsi="Arial" w:cs="Arial"/>
          <w:color w:val="auto"/>
          <w:sz w:val="19"/>
          <w:szCs w:val="19"/>
          <w:lang w:val="sk-SK"/>
        </w:rPr>
        <w:t>_</w:t>
      </w:r>
      <w:r w:rsidR="00105CAF" w:rsidRPr="00296735">
        <w:rPr>
          <w:rFonts w:ascii="Arial" w:hAnsi="Arial" w:cs="Arial"/>
          <w:color w:val="auto"/>
          <w:sz w:val="19"/>
          <w:szCs w:val="19"/>
          <w:lang w:val="sk-SK"/>
        </w:rPr>
        <w:t xml:space="preserve"> </w:t>
      </w:r>
      <w:r w:rsidR="00B60D5F" w:rsidRPr="00296735">
        <w:rPr>
          <w:rFonts w:ascii="Arial" w:hAnsi="Arial" w:cs="Arial"/>
          <w:color w:val="auto"/>
          <w:sz w:val="19"/>
          <w:szCs w:val="19"/>
          <w:lang w:val="sk-SK"/>
        </w:rPr>
        <w:t>ŠRO</w:t>
      </w:r>
    </w:p>
    <w:p w14:paraId="0AD40E75" w14:textId="1AC96115" w:rsidR="00EB5C82" w:rsidRPr="00296735" w:rsidRDefault="00EB5C82" w:rsidP="00296735">
      <w:pPr>
        <w:pStyle w:val="Default"/>
        <w:spacing w:before="120" w:after="120" w:line="288" w:lineRule="auto"/>
        <w:ind w:left="720"/>
        <w:jc w:val="both"/>
        <w:rPr>
          <w:rFonts w:ascii="Arial" w:hAnsi="Arial" w:cs="Arial"/>
          <w:color w:val="auto"/>
          <w:sz w:val="19"/>
          <w:szCs w:val="19"/>
          <w:lang w:val="sk-SK"/>
        </w:rPr>
      </w:pPr>
      <w:r w:rsidRPr="00296735">
        <w:rPr>
          <w:rFonts w:ascii="Arial" w:hAnsi="Arial" w:cs="Arial"/>
          <w:color w:val="auto"/>
          <w:sz w:val="19"/>
          <w:szCs w:val="19"/>
          <w:lang w:val="sk-SK"/>
        </w:rPr>
        <w:t>b)  Výpočet oprávnenej výšky mzdy zamestnanca_ ŠRO - OBZ</w:t>
      </w:r>
    </w:p>
    <w:p w14:paraId="71395AC4" w14:textId="77777777" w:rsidR="00AE2E88" w:rsidRPr="00296735" w:rsidRDefault="00A161AA"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Mimoriadna monitorovacia správa projektu</w:t>
      </w:r>
    </w:p>
    <w:p w14:paraId="405C13E1" w14:textId="77777777" w:rsidR="00200264" w:rsidRPr="00296735" w:rsidRDefault="00200264"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Prevodník obstaraných položiek k rozpočtu projektu</w:t>
      </w:r>
    </w:p>
    <w:p w14:paraId="43C397FB" w14:textId="46DF97EC" w:rsidR="00EB5C82" w:rsidRPr="00296735" w:rsidRDefault="00EB5C82" w:rsidP="00296735">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Doplňujúce údaje k preukázaniu dodania predmetu plnenia</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42A2454F" w14:textId="27814322" w:rsidR="00EB5C82" w:rsidRDefault="00EB5C82"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72A46F48" w14:textId="77777777" w:rsidR="001A44D1" w:rsidRDefault="001A44D1" w:rsidP="00B1516C">
      <w:pPr>
        <w:pStyle w:val="Default"/>
        <w:spacing w:before="120" w:after="120" w:line="288" w:lineRule="auto"/>
        <w:jc w:val="both"/>
        <w:rPr>
          <w:lang w:val="sk-SK"/>
        </w:rPr>
      </w:pPr>
    </w:p>
    <w:p w14:paraId="213F1233" w14:textId="705B630B" w:rsidR="007F77C1" w:rsidRDefault="00B1516C" w:rsidP="0029700B">
      <w:pPr>
        <w:pStyle w:val="Nadpis1"/>
        <w:numPr>
          <w:ilvl w:val="0"/>
          <w:numId w:val="0"/>
        </w:numPr>
        <w:rPr>
          <w:rFonts w:ascii="Arial" w:hAnsi="Arial"/>
          <w:lang w:val="sk-SK"/>
        </w:rPr>
      </w:pPr>
      <w:bookmarkStart w:id="178" w:name="_Toc94683071"/>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178"/>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4F323" w14:textId="77777777" w:rsidR="006E55AE" w:rsidRDefault="006E55AE">
      <w:r>
        <w:separator/>
      </w:r>
    </w:p>
    <w:p w14:paraId="3C508731" w14:textId="77777777" w:rsidR="006E55AE" w:rsidRDefault="006E55AE"/>
  </w:endnote>
  <w:endnote w:type="continuationSeparator" w:id="0">
    <w:p w14:paraId="77EE3986" w14:textId="77777777" w:rsidR="006E55AE" w:rsidRDefault="006E55AE">
      <w:r>
        <w:continuationSeparator/>
      </w:r>
    </w:p>
    <w:p w14:paraId="0921C4CA" w14:textId="77777777" w:rsidR="006E55AE" w:rsidRDefault="006E55AE"/>
  </w:endnote>
  <w:endnote w:type="continuationNotice" w:id="1">
    <w:p w14:paraId="3254A8A0" w14:textId="77777777" w:rsidR="006E55AE" w:rsidRDefault="006E5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C8A3" w14:textId="77777777" w:rsidR="006E55AE" w:rsidRDefault="006E55A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579C" w14:textId="75AFC820" w:rsidR="006E55AE" w:rsidRDefault="006E55AE">
    <w:pPr>
      <w:pStyle w:val="Pta"/>
      <w:jc w:val="right"/>
    </w:pPr>
    <w:r>
      <w:fldChar w:fldCharType="begin"/>
    </w:r>
    <w:r>
      <w:instrText xml:space="preserve"> PAGE   \* MERGEFORMAT </w:instrText>
    </w:r>
    <w:r>
      <w:fldChar w:fldCharType="separate"/>
    </w:r>
    <w:r w:rsidR="00FC22D0">
      <w:rPr>
        <w:noProof/>
      </w:rPr>
      <w:t>58</w:t>
    </w:r>
    <w:r>
      <w:rPr>
        <w:noProof/>
      </w:rPr>
      <w:fldChar w:fldCharType="end"/>
    </w:r>
  </w:p>
  <w:p w14:paraId="2C36D00B" w14:textId="77777777" w:rsidR="006E55AE" w:rsidRPr="003530AF" w:rsidRDefault="006E55AE" w:rsidP="003530AF">
    <w:pPr>
      <w:pStyle w:val="Pta"/>
      <w:jc w:val="righ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132299"/>
      <w:docPartObj>
        <w:docPartGallery w:val="Page Numbers (Bottom of Page)"/>
        <w:docPartUnique/>
      </w:docPartObj>
    </w:sdtPr>
    <w:sdtContent>
      <w:p w14:paraId="722CB5B5" w14:textId="7A7B43A3" w:rsidR="006E55AE" w:rsidRDefault="006E55AE">
        <w:pPr>
          <w:pStyle w:val="Pta"/>
          <w:jc w:val="right"/>
        </w:pPr>
        <w:r>
          <w:fldChar w:fldCharType="begin"/>
        </w:r>
        <w:r>
          <w:instrText>PAGE   \* MERGEFORMAT</w:instrText>
        </w:r>
        <w:r>
          <w:fldChar w:fldCharType="separate"/>
        </w:r>
        <w:r w:rsidR="00FC22D0" w:rsidRPr="00FC22D0">
          <w:rPr>
            <w:noProof/>
            <w:lang w:val="sk-SK"/>
          </w:rPr>
          <w:t>1</w:t>
        </w:r>
        <w:r>
          <w:fldChar w:fldCharType="end"/>
        </w:r>
      </w:p>
    </w:sdtContent>
  </w:sdt>
  <w:p w14:paraId="3843E05C" w14:textId="77777777" w:rsidR="006E55AE" w:rsidRDefault="006E55A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9D53A" w14:textId="77777777" w:rsidR="006E55AE" w:rsidRDefault="006E55AE">
      <w:r>
        <w:separator/>
      </w:r>
    </w:p>
    <w:p w14:paraId="6315FA38" w14:textId="77777777" w:rsidR="006E55AE" w:rsidRDefault="006E55AE"/>
  </w:footnote>
  <w:footnote w:type="continuationSeparator" w:id="0">
    <w:p w14:paraId="279B8CAD" w14:textId="77777777" w:rsidR="006E55AE" w:rsidRDefault="006E55AE">
      <w:r>
        <w:continuationSeparator/>
      </w:r>
    </w:p>
    <w:p w14:paraId="157089AA" w14:textId="77777777" w:rsidR="006E55AE" w:rsidRDefault="006E55AE"/>
  </w:footnote>
  <w:footnote w:type="continuationNotice" w:id="1">
    <w:p w14:paraId="44D21194" w14:textId="77777777" w:rsidR="006E55AE" w:rsidRDefault="006E55AE"/>
  </w:footnote>
  <w:footnote w:id="2">
    <w:p w14:paraId="1788BD73" w14:textId="23B51D62" w:rsidR="006E55AE" w:rsidRPr="00CA64B9" w:rsidRDefault="006E55AE" w:rsidP="008827B8">
      <w:pPr>
        <w:pStyle w:val="Textpoznmkypodiarou"/>
        <w:jc w:val="both"/>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0E90C417" w14:textId="5D11EAE6" w:rsidR="006E55AE" w:rsidRPr="008827B8" w:rsidRDefault="006E55AE" w:rsidP="008827B8">
      <w:pPr>
        <w:pStyle w:val="Textpoznmkypodiarou"/>
        <w:jc w:val="both"/>
        <w:rPr>
          <w:lang w:val="sk-SK"/>
        </w:rPr>
      </w:pPr>
      <w:r>
        <w:rPr>
          <w:rStyle w:val="Odkaznapoznmkupodiarou"/>
        </w:rPr>
        <w:footnoteRef/>
      </w:r>
      <w:r>
        <w:rPr>
          <w:lang w:val="sk-SK"/>
        </w:rPr>
        <w:t xml:space="preserve"> V zmysle</w:t>
      </w:r>
      <w:r>
        <w:t xml:space="preserve"> </w:t>
      </w:r>
      <w:r w:rsidRPr="00435BC5">
        <w:t>§ 3 a § 21 zákona č. 575/2001 Z. z. o organizácii činnosti vlády a organizácii ústrednej štátnej správy v znení neskorších predpisov</w:t>
      </w:r>
    </w:p>
  </w:footnote>
  <w:footnote w:id="4">
    <w:p w14:paraId="356EBC37" w14:textId="5899B2FA" w:rsidR="006E55AE" w:rsidRPr="008827B8" w:rsidRDefault="006E55AE" w:rsidP="008827B8">
      <w:pPr>
        <w:pStyle w:val="Textpoznmkypodiarou"/>
        <w:jc w:val="both"/>
        <w:rPr>
          <w:b/>
          <w:lang w:val="sk-SK"/>
        </w:rPr>
      </w:pPr>
      <w:r w:rsidRPr="008827B8">
        <w:rPr>
          <w:rStyle w:val="Odkaznapoznmkupodiarou"/>
          <w:b/>
        </w:rPr>
        <w:footnoteRef/>
      </w:r>
      <w:r w:rsidRPr="008827B8">
        <w:rPr>
          <w:b/>
        </w:rPr>
        <w:t xml:space="preserve"> </w:t>
      </w:r>
      <w:r w:rsidRPr="008827B8">
        <w:rPr>
          <w:b/>
          <w:lang w:val="sk-SK"/>
        </w:rPr>
        <w:t xml:space="preserve">RO </w:t>
      </w:r>
      <w:r>
        <w:rPr>
          <w:b/>
          <w:lang w:val="sk-SK"/>
        </w:rPr>
        <w:t xml:space="preserve">pre </w:t>
      </w:r>
      <w:r w:rsidRPr="008827B8">
        <w:rPr>
          <w:b/>
          <w:lang w:val="sk-SK"/>
        </w:rPr>
        <w:t xml:space="preserve">OP EVS požaduje v zmysle Jednotnej príručky </w:t>
      </w:r>
      <w:r>
        <w:rPr>
          <w:b/>
          <w:lang w:val="sk-SK"/>
        </w:rPr>
        <w:t xml:space="preserve">k </w:t>
      </w:r>
      <w:r w:rsidRPr="008827B8">
        <w:rPr>
          <w:b/>
          <w:lang w:val="sk-SK"/>
        </w:rPr>
        <w:t xml:space="preserve">ŽoP používanie sumarizačných hárkov vydaných ako príloha tejto príručky pre prijímateľa. </w:t>
      </w:r>
    </w:p>
  </w:footnote>
  <w:footnote w:id="5">
    <w:p w14:paraId="3112F0A8" w14:textId="77777777" w:rsidR="006E55AE" w:rsidRPr="009D7F63" w:rsidRDefault="006E55AE"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6">
    <w:p w14:paraId="3EA71EF8" w14:textId="77777777" w:rsidR="006E55AE" w:rsidRPr="009D7F63" w:rsidRDefault="006E55A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7">
    <w:p w14:paraId="2C5BE3F1" w14:textId="77777777" w:rsidR="006E55AE" w:rsidRPr="009D7F63" w:rsidRDefault="006E55A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8">
    <w:p w14:paraId="5C4451D7" w14:textId="77777777" w:rsidR="006E55AE" w:rsidRPr="005755D7" w:rsidRDefault="006E55AE">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9">
    <w:p w14:paraId="44049546" w14:textId="77777777" w:rsidR="006E55AE" w:rsidRPr="00735615" w:rsidRDefault="006E55AE">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10">
    <w:p w14:paraId="7EDF750B" w14:textId="77777777" w:rsidR="006E55AE" w:rsidRDefault="006E55AE"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6E55AE" w:rsidRDefault="006E55AE"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6E55AE" w:rsidRPr="00EA00BD" w:rsidRDefault="006E55AE">
      <w:pPr>
        <w:pStyle w:val="Textpoznmkypodiarou"/>
        <w:rPr>
          <w:lang w:val="sk-SK"/>
        </w:rPr>
      </w:pPr>
    </w:p>
  </w:footnote>
  <w:footnote w:id="11">
    <w:p w14:paraId="3590E41A" w14:textId="77777777" w:rsidR="006E55AE" w:rsidRDefault="006E55AE"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6E55AE" w:rsidRPr="0063712E" w:rsidRDefault="006E55AE" w:rsidP="0063712E">
      <w:pPr>
        <w:pStyle w:val="Textpoznmkypodiarou"/>
        <w:jc w:val="both"/>
        <w:rPr>
          <w:lang w:val="sk-SK"/>
        </w:rPr>
      </w:pPr>
      <w:r>
        <w:rPr>
          <w:lang w:val="sk-SK"/>
        </w:rPr>
        <w:t>b.) v listinnej podobe poštou, kuriérskou službou  alebo osobne do podateľne.</w:t>
      </w:r>
    </w:p>
  </w:footnote>
  <w:footnote w:id="12">
    <w:p w14:paraId="0C9BCBDB" w14:textId="77777777" w:rsidR="006E55AE" w:rsidRPr="009D7F63" w:rsidRDefault="006E55AE" w:rsidP="00764D25">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3">
    <w:p w14:paraId="4FE83B7E" w14:textId="77777777" w:rsidR="006E55AE" w:rsidRPr="0063712E" w:rsidRDefault="006E55AE"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4">
    <w:p w14:paraId="61D79BDF" w14:textId="77777777" w:rsidR="006E55AE" w:rsidRPr="00992A14" w:rsidRDefault="006E55AE"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5">
    <w:p w14:paraId="1B3F2DB0" w14:textId="38A0C8B9" w:rsidR="006E55AE" w:rsidRPr="003911A6" w:rsidRDefault="006E55AE">
      <w:pPr>
        <w:pStyle w:val="Textpoznmkypodiarou"/>
        <w:rPr>
          <w:lang w:val="sk-SK"/>
        </w:rPr>
      </w:pPr>
      <w:r>
        <w:rPr>
          <w:rStyle w:val="Odkaznapoznmkupodiarou"/>
        </w:rPr>
        <w:footnoteRef/>
      </w:r>
      <w:r>
        <w:t xml:space="preserve"> </w:t>
      </w:r>
      <w:r>
        <w:rPr>
          <w:lang w:val="sk-SK"/>
        </w:rPr>
        <w:t>Osoby v zmysle  definície pojmu účastníka v časti 1.3 Definícia pojmov  tejto príručke pre prijímateľa</w:t>
      </w:r>
    </w:p>
  </w:footnote>
  <w:footnote w:id="16">
    <w:p w14:paraId="61C87567" w14:textId="77777777" w:rsidR="006E55AE" w:rsidRPr="00F20EE9" w:rsidRDefault="006E55AE">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7">
    <w:p w14:paraId="624CE0A9" w14:textId="77777777" w:rsidR="006E55AE" w:rsidRPr="005D70A1" w:rsidRDefault="006E55AE">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8">
    <w:p w14:paraId="0EF3109E" w14:textId="3F44290D" w:rsidR="006E55AE" w:rsidRPr="00C44602" w:rsidRDefault="006E55AE"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9">
    <w:p w14:paraId="3A5390FB" w14:textId="77777777" w:rsidR="006E55AE" w:rsidRPr="00EA330D" w:rsidRDefault="006E55AE"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20">
    <w:p w14:paraId="32EDC201" w14:textId="77777777" w:rsidR="006E55AE" w:rsidRPr="00852446" w:rsidRDefault="006E55AE"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21">
    <w:p w14:paraId="66386B84" w14:textId="77777777" w:rsidR="006E55AE" w:rsidRPr="00E25071" w:rsidRDefault="006E55AE"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2">
    <w:p w14:paraId="1D8187EA" w14:textId="77777777" w:rsidR="006E55AE" w:rsidRPr="00EA00BD" w:rsidRDefault="006E55AE">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3">
    <w:p w14:paraId="0D47D123" w14:textId="77777777" w:rsidR="006E55AE" w:rsidRPr="00597E10" w:rsidRDefault="006E55AE"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4">
    <w:p w14:paraId="603C2210" w14:textId="6BC3D375" w:rsidR="006E55AE" w:rsidRPr="00B25E05" w:rsidRDefault="006E55AE">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5">
    <w:p w14:paraId="4E700D7B" w14:textId="77777777" w:rsidR="006E55AE" w:rsidRPr="009D7F63" w:rsidRDefault="006E55AE"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6">
    <w:p w14:paraId="3BC21933" w14:textId="77777777" w:rsidR="006E55AE" w:rsidRPr="009D7F63" w:rsidRDefault="006E55AE">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7">
    <w:p w14:paraId="204D9A7D" w14:textId="77777777" w:rsidR="006E55AE" w:rsidRPr="007D7535" w:rsidRDefault="006E55AE"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8">
    <w:p w14:paraId="5C2C6288" w14:textId="77777777" w:rsidR="006E55AE" w:rsidRPr="009D7F63" w:rsidRDefault="006E55AE"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6E55AE" w:rsidRPr="009D7F63" w:rsidRDefault="006E55AE" w:rsidP="00C8683A">
      <w:pPr>
        <w:pStyle w:val="Textpoznmkypodiarou"/>
        <w:rPr>
          <w:rFonts w:cs="Arial"/>
          <w:szCs w:val="16"/>
          <w:lang w:val="sk-SK"/>
        </w:rPr>
      </w:pPr>
      <w:r w:rsidRPr="009D7F63">
        <w:rPr>
          <w:rFonts w:cs="Arial"/>
          <w:szCs w:val="16"/>
          <w:lang w:val="sk-SK" w:eastAsia="cs-CZ"/>
        </w:rPr>
        <w:t>4. pohonné hmoty.</w:t>
      </w:r>
    </w:p>
  </w:footnote>
  <w:footnote w:id="29">
    <w:p w14:paraId="7FAC1B18" w14:textId="77777777" w:rsidR="006E55AE" w:rsidRPr="009D7F63" w:rsidRDefault="006E55AE"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6E55AE" w:rsidRPr="00041D2E" w:rsidRDefault="006E55AE" w:rsidP="00041D2E">
      <w:pPr>
        <w:pStyle w:val="Textpoznmkypodiarou"/>
        <w:rPr>
          <w:lang w:val="sk-SK"/>
        </w:rPr>
      </w:pPr>
      <w:r w:rsidRPr="009D7F63">
        <w:rPr>
          <w:rFonts w:cs="Arial"/>
          <w:szCs w:val="16"/>
          <w:lang w:val="sk-SK" w:eastAsia="cs-CZ"/>
        </w:rPr>
        <w:t>4. pohonné hmoty.</w:t>
      </w:r>
    </w:p>
  </w:footnote>
  <w:footnote w:id="30">
    <w:p w14:paraId="784C7747" w14:textId="77777777" w:rsidR="006E55AE" w:rsidRPr="009D7F63" w:rsidRDefault="006E55AE"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31">
    <w:p w14:paraId="2888D183" w14:textId="77777777" w:rsidR="006E55AE" w:rsidRDefault="006E55AE"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6E55AE" w:rsidRPr="00735615" w:rsidRDefault="006E55AE"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2">
    <w:p w14:paraId="07AF51A5" w14:textId="77777777" w:rsidR="006E55AE" w:rsidRPr="009D7F63" w:rsidRDefault="006E55AE"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3">
    <w:p w14:paraId="6BDBD3F9" w14:textId="77777777" w:rsidR="006E55AE" w:rsidRPr="009D7F63" w:rsidRDefault="006E55AE"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4">
    <w:p w14:paraId="6B5FD7AA" w14:textId="77777777" w:rsidR="006E55AE" w:rsidRDefault="006E55AE"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6E55AE" w:rsidRPr="009D7F63" w:rsidRDefault="006E55AE">
      <w:pPr>
        <w:pStyle w:val="Textpoznmkypodiarou"/>
        <w:rPr>
          <w:rFonts w:cs="Arial"/>
          <w:szCs w:val="16"/>
          <w:lang w:val="sk-SK"/>
        </w:rPr>
      </w:pPr>
    </w:p>
  </w:footnote>
  <w:footnote w:id="35">
    <w:p w14:paraId="7F1147A2" w14:textId="3AB753A1" w:rsidR="006E55AE" w:rsidRPr="001B311E" w:rsidRDefault="006E55AE">
      <w:pPr>
        <w:pStyle w:val="Textpoznmkypodiarou"/>
        <w:rPr>
          <w:lang w:val="sk-SK"/>
        </w:rPr>
      </w:pPr>
      <w:r>
        <w:rPr>
          <w:rStyle w:val="Odkaznapoznmkupodiarou"/>
        </w:rPr>
        <w:footnoteRef/>
      </w:r>
      <w:r>
        <w:t xml:space="preserve"> </w:t>
      </w:r>
      <w:r w:rsidRPr="00D11C96">
        <w:t>Podľa § 2 ods. 15 zákona č. 431/2002 Z. z. o účtovníctve</w:t>
      </w:r>
    </w:p>
  </w:footnote>
  <w:footnote w:id="36">
    <w:p w14:paraId="5434812D" w14:textId="12BC4F64" w:rsidR="006E55AE" w:rsidRPr="001B311E" w:rsidRDefault="006E55AE">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7">
    <w:p w14:paraId="22AA2654" w14:textId="77777777" w:rsidR="006E55AE" w:rsidRPr="002D4628" w:rsidRDefault="006E55AE"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8">
    <w:p w14:paraId="748D3330" w14:textId="77777777" w:rsidR="006E55AE" w:rsidRPr="009D7F63" w:rsidRDefault="006E55AE"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9">
    <w:p w14:paraId="67F1ADFF" w14:textId="77777777" w:rsidR="006E55AE" w:rsidRPr="006E4CC8" w:rsidRDefault="006E55AE"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6E55AE" w:rsidRPr="00F41F62" w:rsidRDefault="006E55AE"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40">
    <w:p w14:paraId="1D1C0F7D" w14:textId="77777777" w:rsidR="006E55AE" w:rsidRPr="009D7F63" w:rsidRDefault="006E55AE"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1">
    <w:p w14:paraId="588AFD3C" w14:textId="77777777" w:rsidR="006E55AE" w:rsidRDefault="006E55AE"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2">
    <w:p w14:paraId="6721C3EE" w14:textId="77777777" w:rsidR="006E55AE" w:rsidRDefault="006E55AE"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3">
    <w:p w14:paraId="15667933" w14:textId="77777777" w:rsidR="006E55AE" w:rsidRDefault="006E55AE"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4">
    <w:p w14:paraId="1744570C" w14:textId="77777777" w:rsidR="006E55AE" w:rsidRPr="004F28ED" w:rsidRDefault="006E55AE">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5">
    <w:p w14:paraId="3E8DE04D" w14:textId="64BA11DB" w:rsidR="006E55AE" w:rsidRPr="00B25E05" w:rsidRDefault="006E55AE"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6">
    <w:p w14:paraId="33CC1FB5" w14:textId="77777777" w:rsidR="006E55AE" w:rsidRPr="0031793F" w:rsidRDefault="006E55AE">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7">
    <w:p w14:paraId="38E92D02" w14:textId="77777777" w:rsidR="006E55AE" w:rsidRPr="00E1641D" w:rsidRDefault="006E55AE"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8">
    <w:p w14:paraId="64707FCA" w14:textId="77777777" w:rsidR="006E55AE" w:rsidRPr="0029658C" w:rsidRDefault="006E55AE"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9">
    <w:p w14:paraId="4AE34EF6" w14:textId="77777777" w:rsidR="006E55AE" w:rsidRDefault="006E55AE"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6E55AE" w:rsidRPr="0029658C" w:rsidRDefault="006E55AE"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50">
    <w:p w14:paraId="2A70F20B" w14:textId="77777777" w:rsidR="006E55AE" w:rsidRPr="00765644" w:rsidRDefault="006E55AE"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51">
    <w:p w14:paraId="4A02512F" w14:textId="77777777" w:rsidR="006E55AE" w:rsidRDefault="006E55AE"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6E55AE" w:rsidRDefault="006E55AE"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6E55AE" w:rsidRDefault="006E55AE"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6E55AE" w:rsidRPr="00033E1E" w:rsidRDefault="006E55AE"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2">
    <w:p w14:paraId="35ED0803" w14:textId="77777777" w:rsidR="006E55AE" w:rsidRPr="00B8602D" w:rsidRDefault="006E55AE">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3">
    <w:p w14:paraId="61591BE7" w14:textId="77777777" w:rsidR="006E55AE" w:rsidRPr="00BD5C09" w:rsidRDefault="006E55AE"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4">
    <w:p w14:paraId="32904B54" w14:textId="77777777" w:rsidR="006E55AE" w:rsidRPr="00867B4C" w:rsidRDefault="006E55AE"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5">
    <w:p w14:paraId="64A6AA42" w14:textId="77777777" w:rsidR="006E55AE" w:rsidRPr="00EA00BD" w:rsidRDefault="006E55AE"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6">
    <w:p w14:paraId="68DE9086" w14:textId="77777777" w:rsidR="006E55AE" w:rsidRPr="00EA00BD" w:rsidRDefault="006E55AE"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7">
    <w:p w14:paraId="3D5B49C2" w14:textId="77777777" w:rsidR="006E55AE" w:rsidRPr="00736D46" w:rsidRDefault="006E55AE"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6E55AE" w:rsidRPr="00736D46" w:rsidRDefault="006E55AE">
      <w:pPr>
        <w:pStyle w:val="Textpoznmkypodiarou"/>
        <w:rPr>
          <w:lang w:val="sk-SK"/>
        </w:rPr>
      </w:pPr>
    </w:p>
  </w:footnote>
  <w:footnote w:id="58">
    <w:p w14:paraId="3B1DDFE6" w14:textId="77777777" w:rsidR="006E55AE" w:rsidRPr="00965E93" w:rsidRDefault="006E55AE"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9">
    <w:p w14:paraId="04235AB1" w14:textId="77777777" w:rsidR="006E55AE" w:rsidRPr="009D7F63" w:rsidRDefault="006E55AE"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60">
    <w:p w14:paraId="5B5AED80" w14:textId="77777777" w:rsidR="006E55AE" w:rsidRPr="009D7F63" w:rsidRDefault="006E55AE"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1">
    <w:p w14:paraId="4A561FFD"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2">
    <w:p w14:paraId="65161A9A"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6E55AE" w:rsidRPr="009D7F63" w:rsidRDefault="006E55A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3">
    <w:p w14:paraId="673F36A6"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4">
    <w:p w14:paraId="7F206314"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5">
    <w:p w14:paraId="1886023C"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6E55AE" w:rsidRPr="009D7F63" w:rsidRDefault="006E55A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6">
    <w:p w14:paraId="63554002" w14:textId="48DF0BE4" w:rsidR="006E55AE" w:rsidRPr="0064452F" w:rsidRDefault="006E55AE"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7">
    <w:p w14:paraId="5AB099ED" w14:textId="77777777" w:rsidR="006E55AE" w:rsidRPr="00062F88" w:rsidRDefault="006E55AE"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8">
    <w:p w14:paraId="440DFBC7" w14:textId="77777777" w:rsidR="006E55AE" w:rsidRDefault="006E55AE" w:rsidP="009B4AEF">
      <w:pPr>
        <w:pStyle w:val="Textpoznmkypodiarou"/>
        <w:jc w:val="both"/>
      </w:pPr>
      <w:r>
        <w:rPr>
          <w:rStyle w:val="Odkaznapoznmkupodiarou"/>
        </w:rPr>
        <w:footnoteRef/>
      </w:r>
      <w:r>
        <w:t xml:space="preserve"> Priznanie odmeny príslušnému zamestnancovi musí byť náležite zdôvodnené.</w:t>
      </w:r>
    </w:p>
  </w:footnote>
  <w:footnote w:id="69">
    <w:p w14:paraId="6780E399" w14:textId="77777777" w:rsidR="006E55AE" w:rsidRPr="00F72B7B" w:rsidRDefault="006E55AE"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70">
    <w:p w14:paraId="56A84A69" w14:textId="77777777" w:rsidR="006E55AE" w:rsidRDefault="006E55AE"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71">
    <w:p w14:paraId="113B7238" w14:textId="77777777" w:rsidR="006E55AE" w:rsidRDefault="006E55AE"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2">
    <w:p w14:paraId="0AF0F428" w14:textId="77777777" w:rsidR="006E55AE" w:rsidRPr="00AF0A84" w:rsidRDefault="006E55AE">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3">
    <w:p w14:paraId="58D353E8"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4">
    <w:p w14:paraId="400CF982" w14:textId="68214655" w:rsidR="006E55AE" w:rsidRPr="00B275B2" w:rsidRDefault="006E55AE" w:rsidP="00AB15E6">
      <w:pPr>
        <w:pStyle w:val="Textpoznmkypodiarou"/>
        <w:jc w:val="both"/>
        <w:rPr>
          <w:lang w:val="sk-SK"/>
        </w:rPr>
      </w:pPr>
      <w:r>
        <w:rPr>
          <w:rStyle w:val="Odkaznapoznmkupodiarou"/>
        </w:rPr>
        <w:footnoteRef/>
      </w:r>
      <w:r>
        <w:t xml:space="preserve"> </w:t>
      </w:r>
      <w:r w:rsidRPr="00B1791D">
        <w:rPr>
          <w:lang w:val="sk-SK"/>
        </w:rPr>
        <w:t xml:space="preserve">Maximálna výška oprávnených výdavkov </w:t>
      </w:r>
      <w:bookmarkStart w:id="55" w:name="_GoBack"/>
      <w:r w:rsidRPr="00B1791D">
        <w:rPr>
          <w:lang w:val="sk-SK"/>
        </w:rPr>
        <w:t>nesmie presiahnuť hodnot</w:t>
      </w:r>
      <w:r>
        <w:rPr>
          <w:lang w:val="sk-SK"/>
        </w:rPr>
        <w:t xml:space="preserve">y </w:t>
      </w:r>
      <w:r w:rsidRPr="006E2282">
        <w:rPr>
          <w:lang w:val="sk-SK"/>
        </w:rPr>
        <w:t xml:space="preserve">uvedené v „GUIDELINES FOR THE APPLICATION TO THE EXCHANGE OF THE OFFICIALS PROGRAMME AND REIMBURSEMENT OF TRAVEL AND SUBSISTENCE EXPENSES“ - </w:t>
      </w:r>
      <w:hyperlink r:id="rId1" w:history="1">
        <w:r w:rsidRPr="006E2282">
          <w:rPr>
            <w:rStyle w:val="Hypertextovprepojenie"/>
            <w:sz w:val="16"/>
            <w:lang w:val="sk-SK"/>
          </w:rPr>
          <w:t>https://ec.europa.eu/chafea/consumers/networks/exchange-of-officials/documents/exo-2020-guidelines_en.pdf</w:t>
        </w:r>
      </w:hyperlink>
    </w:p>
  </w:footnote>
  <w:footnote w:id="75">
    <w:p w14:paraId="4CCCB3F6"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6">
    <w:p w14:paraId="6420C5FF" w14:textId="29BA432B" w:rsidR="006E55AE" w:rsidRPr="00EA00BD" w:rsidRDefault="006E55AE"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sz w:val="16"/>
          <w:szCs w:val="16"/>
          <w:lang w:val="sk-SK"/>
        </w:rPr>
        <w:t xml:space="preserve"> </w:t>
      </w:r>
      <w:hyperlink r:id="rId2" w:history="1">
        <w:r w:rsidRPr="006E2282">
          <w:rPr>
            <w:rStyle w:val="Hypertextovprepojenie"/>
            <w:sz w:val="16"/>
            <w:szCs w:val="16"/>
          </w:rPr>
          <w:t>https://ec.europa.eu/international-partnerships/system/files/per-diem-rates-20200201_en.pdf</w:t>
        </w:r>
      </w:hyperlink>
      <w:r w:rsidRPr="00AB15E6">
        <w:rPr>
          <w:szCs w:val="16"/>
          <w:lang w:val="sk-SK"/>
        </w:rPr>
        <w:t xml:space="preserve">  </w:t>
      </w:r>
    </w:p>
  </w:footnote>
  <w:footnote w:id="77">
    <w:p w14:paraId="5858BB7A" w14:textId="77777777" w:rsidR="006E55AE" w:rsidRPr="001277DD" w:rsidRDefault="006E55AE"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w:t>
      </w:r>
      <w:r w:rsidRPr="001277DD">
        <w:rPr>
          <w:szCs w:val="16"/>
          <w:lang w:val="sk-SK"/>
        </w:rPr>
        <w:t xml:space="preserve">.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8">
    <w:p w14:paraId="5F1D0A1D"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9">
    <w:p w14:paraId="7819EFB8"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80">
    <w:p w14:paraId="160E6959" w14:textId="77777777" w:rsidR="006E55AE" w:rsidRPr="00923BC1" w:rsidRDefault="006E55AE"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81">
    <w:p w14:paraId="41EC266A" w14:textId="77777777" w:rsidR="006E55AE" w:rsidRPr="00772F95" w:rsidRDefault="006E55AE"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2">
    <w:p w14:paraId="1B8A9B5C" w14:textId="77777777" w:rsidR="006E55AE" w:rsidRPr="008A522F" w:rsidRDefault="006E55AE"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3">
    <w:p w14:paraId="2F76CCA6" w14:textId="77777777" w:rsidR="006E55AE" w:rsidRPr="00CE0C11" w:rsidRDefault="006E55AE"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4">
    <w:p w14:paraId="7B95C6EE" w14:textId="77777777" w:rsidR="006E55AE" w:rsidRPr="00621D47" w:rsidRDefault="006E55AE"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5">
    <w:p w14:paraId="3BFD955E" w14:textId="77777777" w:rsidR="006E55AE" w:rsidRPr="00391F1C" w:rsidRDefault="006E55AE"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6">
    <w:p w14:paraId="0A580933" w14:textId="77777777" w:rsidR="006E55AE" w:rsidRPr="009D7F63" w:rsidRDefault="006E55AE"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7">
    <w:p w14:paraId="6E659908" w14:textId="77777777" w:rsidR="006E55AE" w:rsidRPr="009D7F63" w:rsidRDefault="006E55A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8">
    <w:p w14:paraId="4AACA7E4" w14:textId="77777777" w:rsidR="006E55AE" w:rsidRPr="009D7F63" w:rsidRDefault="006E55AE"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9">
    <w:p w14:paraId="5CB1A387" w14:textId="77777777" w:rsidR="006E55AE" w:rsidRPr="009D7F63" w:rsidRDefault="006E55AE"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90">
    <w:p w14:paraId="25DB59BF" w14:textId="77777777" w:rsidR="006E55AE" w:rsidRPr="009D7F63" w:rsidRDefault="006E55A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91">
    <w:p w14:paraId="6B0EB6D9" w14:textId="77777777" w:rsidR="006E55AE" w:rsidRPr="009D7F63" w:rsidRDefault="006E55AE"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2">
    <w:p w14:paraId="2E898118" w14:textId="77777777" w:rsidR="006E55AE" w:rsidRPr="00405EED" w:rsidRDefault="006E55AE"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3">
    <w:p w14:paraId="6C2A3CAC" w14:textId="77777777" w:rsidR="006E55AE" w:rsidRPr="009D7F63" w:rsidRDefault="006E55AE"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4">
    <w:p w14:paraId="2B669336" w14:textId="77777777" w:rsidR="006E55AE" w:rsidRPr="009D7F63" w:rsidRDefault="006E55AE"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5">
    <w:p w14:paraId="192A5ADB" w14:textId="77777777" w:rsidR="006E55AE" w:rsidRPr="009D7F63" w:rsidRDefault="006E55A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6">
    <w:p w14:paraId="08EC4E0A" w14:textId="77777777" w:rsidR="006E55AE" w:rsidRPr="009D7F63" w:rsidRDefault="006E55AE"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7">
    <w:p w14:paraId="6C7A9E3C" w14:textId="77777777" w:rsidR="006E55AE" w:rsidRPr="009D7F63" w:rsidRDefault="006E55AE"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8">
    <w:p w14:paraId="37156460" w14:textId="77777777" w:rsidR="006E55AE" w:rsidRPr="009D7F63" w:rsidRDefault="006E55AE"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9">
    <w:p w14:paraId="4AB88506" w14:textId="77777777" w:rsidR="006E55AE" w:rsidRPr="009D7F63" w:rsidRDefault="006E55AE"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100">
    <w:p w14:paraId="23D42254" w14:textId="77777777" w:rsidR="006E55AE" w:rsidRPr="001A7C8D" w:rsidRDefault="006E55AE">
      <w:pPr>
        <w:pStyle w:val="Textpoznmkypodiarou"/>
        <w:rPr>
          <w:lang w:val="sk-SK"/>
        </w:rPr>
      </w:pPr>
      <w:r>
        <w:rPr>
          <w:rStyle w:val="Odkaznapoznmkupodiarou"/>
        </w:rPr>
        <w:footnoteRef/>
      </w:r>
      <w:r>
        <w:t xml:space="preserve"> V zmysle ustanovenia § 22 ods. 2 zákona o finančnej kontrole</w:t>
      </w:r>
    </w:p>
  </w:footnote>
  <w:footnote w:id="101">
    <w:p w14:paraId="138B35B1" w14:textId="384DCA14" w:rsidR="006E55AE" w:rsidRPr="0064452F" w:rsidRDefault="006E55AE"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2">
    <w:p w14:paraId="1C35C09E" w14:textId="1C5368EC" w:rsidR="006E55AE" w:rsidRPr="009D7F63" w:rsidRDefault="006E55AE"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6E55AE" w:rsidRPr="009D7F63" w:rsidRDefault="006E55AE">
      <w:pPr>
        <w:pStyle w:val="Textpoznmkypodiarou"/>
        <w:rPr>
          <w:rFonts w:cs="Arial"/>
          <w:szCs w:val="16"/>
          <w:lang w:val="sk-SK"/>
        </w:rPr>
      </w:pPr>
    </w:p>
  </w:footnote>
  <w:footnote w:id="103">
    <w:p w14:paraId="7398D789" w14:textId="77777777" w:rsidR="006E55AE" w:rsidRPr="009D7F63" w:rsidRDefault="006E55A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4">
    <w:p w14:paraId="00DAB967" w14:textId="09619F97" w:rsidR="006E55AE" w:rsidRPr="00594011" w:rsidRDefault="006E55AE">
      <w:pPr>
        <w:pStyle w:val="Textpoznmkypodiarou"/>
        <w:rPr>
          <w:lang w:val="sk-SK"/>
        </w:rPr>
      </w:pPr>
      <w:r>
        <w:rPr>
          <w:rStyle w:val="Odkaznapoznmkupodiarou"/>
        </w:rPr>
        <w:footnoteRef/>
      </w:r>
      <w:r>
        <w:t xml:space="preserve"> </w:t>
      </w:r>
      <w:r>
        <w:rPr>
          <w:lang w:val="sk-SK"/>
        </w:rPr>
        <w:t xml:space="preserve">V prípade </w:t>
      </w:r>
      <w:r w:rsidRPr="00594011">
        <w:t>predloženia</w:t>
      </w:r>
      <w:r>
        <w:rPr>
          <w:lang w:val="sk-SK"/>
        </w:rPr>
        <w:t xml:space="preserve"> ŽoP prostredníctvom</w:t>
      </w:r>
      <w:r>
        <w:t xml:space="preserve"> </w:t>
      </w:r>
      <w:r w:rsidRPr="00594011">
        <w:t xml:space="preserve"> </w:t>
      </w:r>
      <w:r>
        <w:rPr>
          <w:lang w:val="sk-SK"/>
        </w:rPr>
        <w:t>nástroja ITMS2014+ E</w:t>
      </w:r>
      <w:r w:rsidRPr="00594011">
        <w:t>lektr</w:t>
      </w:r>
      <w:r>
        <w:t xml:space="preserve">onické predloženie </w:t>
      </w:r>
      <w:r w:rsidRPr="00594011">
        <w:rPr>
          <w:b/>
        </w:rPr>
        <w:t>(neformálne</w:t>
      </w:r>
      <w:r>
        <w:t xml:space="preserve">), </w:t>
      </w:r>
      <w:r>
        <w:rPr>
          <w:lang w:val="sk-SK"/>
        </w:rPr>
        <w:t>ne</w:t>
      </w:r>
      <w:r>
        <w:t xml:space="preserve">bude </w:t>
      </w:r>
      <w:r>
        <w:rPr>
          <w:lang w:val="sk-SK"/>
        </w:rPr>
        <w:t>ta</w:t>
      </w:r>
      <w:r w:rsidRPr="00594011">
        <w:t xml:space="preserve">kéto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p>
  </w:footnote>
  <w:footnote w:id="105">
    <w:p w14:paraId="729C9F71" w14:textId="7FB2E36E" w:rsidR="006E55AE" w:rsidRPr="0029700B" w:rsidRDefault="006E55AE">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6">
    <w:p w14:paraId="49918D05" w14:textId="77777777" w:rsidR="006E55AE" w:rsidRPr="0063712E" w:rsidRDefault="006E55AE"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7">
    <w:p w14:paraId="5F606E25" w14:textId="1CBABB5F" w:rsidR="006E55AE" w:rsidRPr="0029700B" w:rsidRDefault="006E55AE">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8">
    <w:p w14:paraId="22C7FAFC" w14:textId="77777777" w:rsidR="006E55AE" w:rsidRPr="009D7F63" w:rsidRDefault="006E55A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9">
    <w:p w14:paraId="33F84496" w14:textId="77777777" w:rsidR="006E55AE" w:rsidRDefault="006E55AE"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10">
    <w:p w14:paraId="6CF46C03"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11">
    <w:p w14:paraId="77E0A074" w14:textId="77777777" w:rsidR="006E55AE" w:rsidRPr="009D7F63" w:rsidRDefault="006E55A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2">
    <w:p w14:paraId="7F787B99" w14:textId="77777777" w:rsidR="006E55AE" w:rsidRDefault="006E55AE"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6E55AE" w:rsidRPr="0029658C" w:rsidRDefault="006E55AE"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3">
    <w:p w14:paraId="022F236E" w14:textId="591CF80F" w:rsidR="006E55AE" w:rsidRPr="00627183" w:rsidRDefault="006E55AE" w:rsidP="00764D25">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w:t>
      </w:r>
      <w:r>
        <w:rPr>
          <w:rFonts w:ascii="Arial" w:hAnsi="Arial" w:cs="Arial"/>
          <w:sz w:val="16"/>
          <w:szCs w:val="16"/>
        </w:rPr>
        <w:t xml:space="preserve">o ich prílohy ďalej obsahujú aj </w:t>
      </w:r>
      <w:r w:rsidRPr="00627183">
        <w:rPr>
          <w:rFonts w:ascii="Arial" w:hAnsi="Arial" w:cs="Arial"/>
          <w:sz w:val="16"/>
          <w:szCs w:val="16"/>
        </w:rPr>
        <w:t>opis pracovnej činnosti (t. j. náplň práce) relevantnej pre projekt.</w:t>
      </w:r>
    </w:p>
    <w:p w14:paraId="656EE277" w14:textId="77777777" w:rsidR="006E55AE" w:rsidRPr="002D4DD9" w:rsidRDefault="006E55AE"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4">
    <w:p w14:paraId="69F2CF37" w14:textId="77777777" w:rsidR="006E55AE" w:rsidRPr="002D4DD9" w:rsidRDefault="006E55AE"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5">
    <w:p w14:paraId="2304559C" w14:textId="693606D0" w:rsidR="006E55AE" w:rsidRPr="00666AC8" w:rsidRDefault="006E55AE"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6">
    <w:p w14:paraId="78551956" w14:textId="1A76FCAE" w:rsidR="006E55AE" w:rsidRPr="002D4DD9" w:rsidRDefault="006E55A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 xml:space="preserve"> Pri zamestnancoch, </w:t>
      </w:r>
      <w:r w:rsidRPr="00217693">
        <w:rPr>
          <w:rFonts w:cs="Arial"/>
          <w:szCs w:val="16"/>
          <w:lang w:val="sk-SK"/>
        </w:rPr>
        <w:t>kde prijímateľom je ministerstvo alebo ostatný ústredný orgán štátnej správy  alebo organizáci</w:t>
      </w:r>
      <w:r>
        <w:rPr>
          <w:rFonts w:cs="Arial"/>
          <w:szCs w:val="16"/>
          <w:lang w:val="sk-SK"/>
        </w:rPr>
        <w:t>a</w:t>
      </w:r>
      <w:r w:rsidRPr="00217693">
        <w:rPr>
          <w:rFonts w:cs="Arial"/>
          <w:szCs w:val="16"/>
          <w:lang w:val="sk-SK"/>
        </w:rPr>
        <w:t xml:space="preserve"> v ich zriaďovateľskej pôsobnosti </w:t>
      </w:r>
      <w:r>
        <w:rPr>
          <w:rFonts w:cs="Arial"/>
          <w:szCs w:val="16"/>
          <w:lang w:val="sk-SK"/>
        </w:rPr>
        <w:t>sa použije „</w:t>
      </w:r>
      <w:r w:rsidRPr="00217693">
        <w:rPr>
          <w:rFonts w:cs="Arial"/>
          <w:szCs w:val="16"/>
          <w:lang w:val="sk-SK"/>
        </w:rPr>
        <w:t>Príloha č. 4 - Súhrnný zoznam bank. účtov zamestnancov</w:t>
      </w:r>
      <w:r>
        <w:rPr>
          <w:rFonts w:cs="Arial"/>
          <w:szCs w:val="16"/>
          <w:lang w:val="sk-SK"/>
        </w:rPr>
        <w:t>“  - Jednotnej príručky k ŽoP</w:t>
      </w:r>
    </w:p>
  </w:footnote>
  <w:footnote w:id="117">
    <w:p w14:paraId="73B9E602" w14:textId="77777777" w:rsidR="006E55AE" w:rsidRPr="002D4DD9" w:rsidRDefault="006E55A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8">
    <w:p w14:paraId="3DB9DEFA"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9">
    <w:p w14:paraId="2DC72A62" w14:textId="0F1A8D85" w:rsidR="006E55AE" w:rsidRPr="00764D25" w:rsidRDefault="006E55AE"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0">
    <w:p w14:paraId="1EABE73A" w14:textId="12BE3141" w:rsidR="006E55AE" w:rsidRPr="00DB1B99" w:rsidRDefault="006E55AE"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21">
    <w:p w14:paraId="43D25DB5" w14:textId="77777777" w:rsidR="006E55AE" w:rsidRPr="002D4DD9" w:rsidRDefault="006E55AE"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22">
    <w:p w14:paraId="7861C716" w14:textId="77777777" w:rsidR="006E55AE" w:rsidRPr="009D7F63" w:rsidRDefault="006E55AE"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3">
    <w:p w14:paraId="20652641" w14:textId="1D51212B" w:rsidR="006E55AE" w:rsidRPr="00764D25" w:rsidRDefault="006E55AE"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4">
    <w:p w14:paraId="5A1F8B21" w14:textId="7C35E428" w:rsidR="006E55AE" w:rsidRPr="00DD30A9" w:rsidRDefault="006E55AE"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5">
    <w:p w14:paraId="727F53EE" w14:textId="5EAC881E" w:rsidR="006E55AE" w:rsidRPr="00365D81" w:rsidRDefault="006E55AE"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6">
    <w:p w14:paraId="07295FD0" w14:textId="77777777" w:rsidR="006E55AE" w:rsidRPr="009D7F63" w:rsidRDefault="006E55AE"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7">
    <w:p w14:paraId="45A84E47" w14:textId="59C278D7" w:rsidR="006E55AE" w:rsidRPr="00657E9E" w:rsidRDefault="006E55AE" w:rsidP="0029673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hyperlink r:id="rId3" w:history="1">
        <w:r w:rsidRPr="00F7621D">
          <w:rPr>
            <w:rStyle w:val="Hypertextovprepojenie"/>
            <w:sz w:val="16"/>
            <w:lang w:val="sk-SK"/>
          </w:rPr>
          <w:t xml:space="preserve">Jednotná príručka k </w:t>
        </w:r>
        <w:r>
          <w:rPr>
            <w:rStyle w:val="Hypertextovprepojenie"/>
            <w:sz w:val="16"/>
            <w:lang w:val="sk-SK"/>
          </w:rPr>
          <w:t>ŽoP</w:t>
        </w:r>
      </w:hyperlink>
      <w:r>
        <w:rPr>
          <w:lang w:val="sk-SK"/>
        </w:rPr>
        <w:t>. RO pre OP EVS požaduje v zmysle Jednotnej príručky k ŽoP používanie sumarizačných hárkov vydaných ako príloha tejto príručky pre prijímateľa.</w:t>
      </w:r>
    </w:p>
    <w:p w14:paraId="760D7BD9" w14:textId="26E7E15D" w:rsidR="006E55AE" w:rsidRPr="00296735" w:rsidRDefault="006E55AE">
      <w:pPr>
        <w:pStyle w:val="Textpoznmkypodiarou"/>
        <w:rPr>
          <w:lang w:val="sk-SK"/>
        </w:rPr>
      </w:pPr>
    </w:p>
  </w:footnote>
  <w:footnote w:id="128">
    <w:p w14:paraId="52CC40AC" w14:textId="77777777" w:rsidR="006E55AE" w:rsidRDefault="006E55AE"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9">
    <w:p w14:paraId="2733879F" w14:textId="77777777" w:rsidR="006E55AE" w:rsidRDefault="006E55AE"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0">
    <w:p w14:paraId="1F01B6FE" w14:textId="77777777" w:rsidR="006E55AE" w:rsidRDefault="006E55AE"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1">
    <w:p w14:paraId="594D547A" w14:textId="77777777" w:rsidR="006E55AE" w:rsidRPr="008D4874" w:rsidRDefault="006E55AE">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2">
    <w:p w14:paraId="06AEA2B7" w14:textId="77777777" w:rsidR="006E55AE" w:rsidRPr="00A9227A" w:rsidRDefault="006E55AE"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3">
    <w:p w14:paraId="74A50A83"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34">
    <w:p w14:paraId="7A914117"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5">
    <w:p w14:paraId="2FB92DE1" w14:textId="77777777" w:rsidR="006E55AE" w:rsidRDefault="006E55AE"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6">
    <w:p w14:paraId="317B1926"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7">
    <w:p w14:paraId="5A80A224"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2960" w14:textId="77777777" w:rsidR="006E55AE" w:rsidRDefault="006E55A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CF070" w14:textId="77777777" w:rsidR="006E55AE" w:rsidRDefault="006E55A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EE1F8" w14:textId="77777777" w:rsidR="006E55AE" w:rsidRDefault="006E55A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15:restartNumberingAfterBreak="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15:restartNumberingAfterBreak="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15:restartNumberingAfterBreak="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15:restartNumberingAfterBreak="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15:restartNumberingAfterBreak="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15:restartNumberingAfterBreak="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15:restartNumberingAfterBreak="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15:restartNumberingAfterBreak="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15:restartNumberingAfterBreak="0">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15:restartNumberingAfterBreak="0">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15:restartNumberingAfterBreak="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15:restartNumberingAfterBreak="0">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15:restartNumberingAfterBreak="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15:restartNumberingAfterBreak="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15:restartNumberingAfterBreak="0">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15:restartNumberingAfterBreak="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15:restartNumberingAfterBreak="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15:restartNumberingAfterBreak="0">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15:restartNumberingAfterBreak="0">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15:restartNumberingAfterBreak="0">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15:restartNumberingAfterBreak="0">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15:restartNumberingAfterBreak="0">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15:restartNumberingAfterBreak="0">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15:restartNumberingAfterBreak="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15:restartNumberingAfterBreak="0">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15:restartNumberingAfterBreak="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15:restartNumberingAfterBreak="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15:restartNumberingAfterBreak="0">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15:restartNumberingAfterBreak="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15:restartNumberingAfterBreak="0">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15:restartNumberingAfterBreak="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15:restartNumberingAfterBreak="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15:restartNumberingAfterBreak="0">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15:restartNumberingAfterBreak="0">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 w:numId="163">
    <w:abstractNumId w:val="15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67D"/>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01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304"/>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252"/>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0FF6"/>
    <w:rsid w:val="00081220"/>
    <w:rsid w:val="0008145D"/>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6C15"/>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59"/>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E7E91"/>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BDB"/>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949"/>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4D1"/>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050"/>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4EE7"/>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693"/>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48B"/>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35"/>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466"/>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5FDC"/>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3A"/>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0A9"/>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5E74"/>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5"/>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17"/>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9E9"/>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2D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48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4B7"/>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80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BC5"/>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22"/>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0B"/>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8F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A4"/>
    <w:rsid w:val="004A7CB6"/>
    <w:rsid w:val="004B094A"/>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BF2"/>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DA3"/>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377BD"/>
    <w:rsid w:val="0054011F"/>
    <w:rsid w:val="00540373"/>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AE4"/>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042"/>
    <w:rsid w:val="005E75E9"/>
    <w:rsid w:val="005E77C0"/>
    <w:rsid w:val="005E7D55"/>
    <w:rsid w:val="005E7DD8"/>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183"/>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0EE0"/>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498C"/>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38E"/>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A3"/>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30"/>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44E"/>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1F84"/>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82"/>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55AE"/>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07C42"/>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2C"/>
    <w:rsid w:val="00721BDB"/>
    <w:rsid w:val="00721EF6"/>
    <w:rsid w:val="0072218C"/>
    <w:rsid w:val="00722340"/>
    <w:rsid w:val="007223B7"/>
    <w:rsid w:val="007228D4"/>
    <w:rsid w:val="00723679"/>
    <w:rsid w:val="00723D18"/>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4D25"/>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4A"/>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611"/>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09E9"/>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0F"/>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762"/>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812"/>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4D22"/>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7B8"/>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37E6"/>
    <w:rsid w:val="008A43C8"/>
    <w:rsid w:val="008A49CF"/>
    <w:rsid w:val="008A4ACB"/>
    <w:rsid w:val="008A5172"/>
    <w:rsid w:val="008A522F"/>
    <w:rsid w:val="008A5331"/>
    <w:rsid w:val="008A54A2"/>
    <w:rsid w:val="008A55A1"/>
    <w:rsid w:val="008A576C"/>
    <w:rsid w:val="008A57E5"/>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68"/>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DA0"/>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93"/>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38E8"/>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57CB8"/>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6D8C"/>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49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054"/>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6F8F"/>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8A7"/>
    <w:rsid w:val="00A2290C"/>
    <w:rsid w:val="00A238CC"/>
    <w:rsid w:val="00A23913"/>
    <w:rsid w:val="00A23E6D"/>
    <w:rsid w:val="00A240B9"/>
    <w:rsid w:val="00A24508"/>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6AE"/>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633"/>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681"/>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266"/>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1E0C"/>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5F7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477"/>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5FA"/>
    <w:rsid w:val="00BB28C5"/>
    <w:rsid w:val="00BB2B77"/>
    <w:rsid w:val="00BB3322"/>
    <w:rsid w:val="00BB4058"/>
    <w:rsid w:val="00BB4457"/>
    <w:rsid w:val="00BB4535"/>
    <w:rsid w:val="00BB45CE"/>
    <w:rsid w:val="00BB4814"/>
    <w:rsid w:val="00BB488C"/>
    <w:rsid w:val="00BB4FCD"/>
    <w:rsid w:val="00BB53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5E"/>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1D"/>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924"/>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2CC7"/>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27CD"/>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AC8"/>
    <w:rsid w:val="00C95B37"/>
    <w:rsid w:val="00C9625B"/>
    <w:rsid w:val="00C96792"/>
    <w:rsid w:val="00C976C1"/>
    <w:rsid w:val="00C97A0D"/>
    <w:rsid w:val="00C97A33"/>
    <w:rsid w:val="00CA01E2"/>
    <w:rsid w:val="00CA07A5"/>
    <w:rsid w:val="00CA0961"/>
    <w:rsid w:val="00CA0D9D"/>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174"/>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77C"/>
    <w:rsid w:val="00CE29BC"/>
    <w:rsid w:val="00CE2E96"/>
    <w:rsid w:val="00CE2EAE"/>
    <w:rsid w:val="00CE301E"/>
    <w:rsid w:val="00CE34C2"/>
    <w:rsid w:val="00CE3FEB"/>
    <w:rsid w:val="00CE47B7"/>
    <w:rsid w:val="00CE4B16"/>
    <w:rsid w:val="00CE4B99"/>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0BAF"/>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A59"/>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A91"/>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1B72"/>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7A"/>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14E6"/>
    <w:rsid w:val="00D92179"/>
    <w:rsid w:val="00D924FD"/>
    <w:rsid w:val="00D925D8"/>
    <w:rsid w:val="00D929F0"/>
    <w:rsid w:val="00D933EE"/>
    <w:rsid w:val="00D935EC"/>
    <w:rsid w:val="00D9374B"/>
    <w:rsid w:val="00D94187"/>
    <w:rsid w:val="00D949AC"/>
    <w:rsid w:val="00D94F29"/>
    <w:rsid w:val="00D953A2"/>
    <w:rsid w:val="00D957BF"/>
    <w:rsid w:val="00D95871"/>
    <w:rsid w:val="00D95C62"/>
    <w:rsid w:val="00D95C9F"/>
    <w:rsid w:val="00D95E48"/>
    <w:rsid w:val="00D96259"/>
    <w:rsid w:val="00D9630C"/>
    <w:rsid w:val="00D9646E"/>
    <w:rsid w:val="00D96AD0"/>
    <w:rsid w:val="00D96AE1"/>
    <w:rsid w:val="00D96C95"/>
    <w:rsid w:val="00D96E41"/>
    <w:rsid w:val="00D9714D"/>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814"/>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061E"/>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967"/>
    <w:rsid w:val="00E01BEB"/>
    <w:rsid w:val="00E01D2B"/>
    <w:rsid w:val="00E0259F"/>
    <w:rsid w:val="00E03B29"/>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1F9F"/>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2C2"/>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085F"/>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0F9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8CB"/>
    <w:rsid w:val="00E75D3A"/>
    <w:rsid w:val="00E769AF"/>
    <w:rsid w:val="00E76C27"/>
    <w:rsid w:val="00E76E38"/>
    <w:rsid w:val="00E77102"/>
    <w:rsid w:val="00E77AE2"/>
    <w:rsid w:val="00E77BF4"/>
    <w:rsid w:val="00E8012F"/>
    <w:rsid w:val="00E8058D"/>
    <w:rsid w:val="00E8068E"/>
    <w:rsid w:val="00E80745"/>
    <w:rsid w:val="00E81221"/>
    <w:rsid w:val="00E814FF"/>
    <w:rsid w:val="00E8151A"/>
    <w:rsid w:val="00E817A6"/>
    <w:rsid w:val="00E8188C"/>
    <w:rsid w:val="00E825AC"/>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BF2"/>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5C82"/>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795"/>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B61"/>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71F"/>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5F78"/>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2954"/>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67EFD"/>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621D"/>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87B99"/>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2D0"/>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813"/>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81DAC05"/>
  <w15:docId w15:val="{F3567F7C-8872-41DD-858E-E4DAA739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s://www.partnerskadohoda.gov.sk/zakladne-dokumenty/" TargetMode="External"/><Relationship Id="rId25" Type="http://schemas.openxmlformats.org/officeDocument/2006/relationships/hyperlink" Target="http://www.partnerskadohoda.gov.s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eformuj.sk/dokument/projektove-dokumenty/"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artnerskadohoda.gov.sk/zakladne-dokumenty/" TargetMode="External"/><Relationship Id="rId23" Type="http://schemas.openxmlformats.org/officeDocument/2006/relationships/hyperlink" Target="http://www.reformuj.sk/dokument/projektove-dokumenty/"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inv.sk/swift_data/source/mvsr_a_eu/gdpr/Informacny%20list%20ak%20neboli%20osobne%20udaje%20ziskane%20od%20dotknutej%20osoby.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hyperlink" Target="http://www.partnerskadohoda.gov.sk"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data/files/5754_jednotna-prirucka-k-predkladaniu-dokumentacie-k-zop.zip" TargetMode="External"/><Relationship Id="rId2" Type="http://schemas.openxmlformats.org/officeDocument/2006/relationships/hyperlink" Target="https://ec.europa.eu/international-partnerships/system/files/per-diem-rates-20200201_en.pdf" TargetMode="External"/><Relationship Id="rId1" Type="http://schemas.openxmlformats.org/officeDocument/2006/relationships/hyperlink" Target="https://ec.europa.eu/chafea/consumers/networks/exchange-of-officials/documents/exo-2020-guidelines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C1E94C-6AE3-43AC-996C-6D1B50DEC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111</Pages>
  <Words>51972</Words>
  <Characters>296246</Characters>
  <Application>Microsoft Office Word</Application>
  <DocSecurity>0</DocSecurity>
  <Lines>2468</Lines>
  <Paragraphs>695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347523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Lenka Lamoš</cp:lastModifiedBy>
  <cp:revision>136</cp:revision>
  <cp:lastPrinted>2021-06-07T11:02:00Z</cp:lastPrinted>
  <dcterms:created xsi:type="dcterms:W3CDTF">2021-08-25T13:24:00Z</dcterms:created>
  <dcterms:modified xsi:type="dcterms:W3CDTF">2022-06-17T08:47:00Z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